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82" w:rsidRPr="00EC40BE" w:rsidRDefault="001F7582" w:rsidP="00503354">
      <w:pPr>
        <w:spacing w:after="120" w:line="240" w:lineRule="auto"/>
        <w:jc w:val="center"/>
        <w:rPr>
          <w:rFonts w:ascii="Arial" w:hAnsi="Arial" w:cs="Arial"/>
          <w:b/>
        </w:rPr>
      </w:pPr>
      <w:bookmarkStart w:id="0" w:name="_GoBack"/>
      <w:r w:rsidRPr="00EC40BE">
        <w:rPr>
          <w:rFonts w:ascii="Arial" w:hAnsi="Arial" w:cs="Arial"/>
          <w:b/>
        </w:rPr>
        <w:t>Overview of the Supplemental Guide</w:t>
      </w:r>
    </w:p>
    <w:bookmarkEnd w:id="0"/>
    <w:p w:rsidR="001F7582" w:rsidRPr="00503354" w:rsidRDefault="001F7582" w:rsidP="00503354">
      <w:pPr>
        <w:spacing w:after="120" w:line="240" w:lineRule="auto"/>
        <w:rPr>
          <w:rFonts w:ascii="Arial" w:hAnsi="Arial" w:cs="Arial"/>
        </w:rPr>
      </w:pPr>
      <w:r w:rsidRPr="00503354">
        <w:rPr>
          <w:rFonts w:ascii="Arial" w:hAnsi="Arial" w:cs="Arial"/>
        </w:rPr>
        <w:t xml:space="preserve">The </w:t>
      </w:r>
      <w:r w:rsidRPr="00503354">
        <w:rPr>
          <w:rFonts w:ascii="Arial" w:hAnsi="Arial" w:cs="Arial"/>
          <w:i/>
        </w:rPr>
        <w:t>Supplemental Guide</w:t>
      </w:r>
      <w:r w:rsidRPr="00503354">
        <w:rPr>
          <w:rFonts w:ascii="Arial" w:hAnsi="Arial" w:cs="Arial"/>
        </w:rPr>
        <w:t xml:space="preserve"> provides further support to educators seeking to meet the specific needs of EL</w:t>
      </w:r>
      <w:r w:rsidR="005F3B18" w:rsidRPr="00503354">
        <w:rPr>
          <w:rFonts w:ascii="Arial" w:hAnsi="Arial" w:cs="Arial"/>
        </w:rPr>
        <w:t>L</w:t>
      </w:r>
      <w:r w:rsidRPr="00503354">
        <w:rPr>
          <w:rFonts w:ascii="Arial" w:hAnsi="Arial" w:cs="Arial"/>
        </w:rPr>
        <w:t xml:space="preserve">s (as well as children with weak or lagging language skills). The </w:t>
      </w:r>
      <w:r w:rsidRPr="00503354">
        <w:rPr>
          <w:rFonts w:ascii="Arial" w:hAnsi="Arial" w:cs="Arial"/>
          <w:i/>
        </w:rPr>
        <w:t>Supplemental Guide</w:t>
      </w:r>
      <w:r w:rsidRPr="00503354">
        <w:rPr>
          <w:rFonts w:ascii="Arial" w:hAnsi="Arial" w:cs="Arial"/>
        </w:rPr>
        <w:t xml:space="preserve"> will adjust the pacing of instruction, provide more specific guidance on explicit instruction for Tier 2 (broadly academic) and Tier 3 (domain specific) vocabulary words, and offer deeper support for syntactic awareness. It also will feature instructional tools for altering instruction in critical ways, including adjusting:</w:t>
      </w:r>
    </w:p>
    <w:p w:rsidR="001F7582" w:rsidRPr="00503354" w:rsidRDefault="001F7582" w:rsidP="00503354">
      <w:pPr>
        <w:pStyle w:val="ListParagraph"/>
        <w:numPr>
          <w:ilvl w:val="0"/>
          <w:numId w:val="1"/>
        </w:numPr>
        <w:spacing w:after="60" w:line="240" w:lineRule="auto"/>
        <w:contextualSpacing w:val="0"/>
        <w:rPr>
          <w:rFonts w:ascii="Arial" w:hAnsi="Arial" w:cs="Arial"/>
        </w:rPr>
      </w:pPr>
      <w:r w:rsidRPr="00503354">
        <w:rPr>
          <w:rFonts w:ascii="Arial" w:hAnsi="Arial" w:cs="Arial"/>
        </w:rPr>
        <w:t>the required modes of participation by children (e.g., using visual supports or receptive approaches for checking comprehension);</w:t>
      </w:r>
    </w:p>
    <w:p w:rsidR="001F7582" w:rsidRPr="00503354" w:rsidRDefault="001F7582" w:rsidP="00503354">
      <w:pPr>
        <w:pStyle w:val="ListParagraph"/>
        <w:numPr>
          <w:ilvl w:val="0"/>
          <w:numId w:val="1"/>
        </w:numPr>
        <w:spacing w:after="60" w:line="240" w:lineRule="auto"/>
        <w:contextualSpacing w:val="0"/>
        <w:rPr>
          <w:rFonts w:ascii="Arial" w:hAnsi="Arial" w:cs="Arial"/>
        </w:rPr>
      </w:pPr>
      <w:r w:rsidRPr="00503354">
        <w:rPr>
          <w:rFonts w:ascii="Arial" w:hAnsi="Arial" w:cs="Arial"/>
        </w:rPr>
        <w:t>the expressive language demands on children (e.g., providing sentence frames and allowing questions to be yes/no instead of open ended);</w:t>
      </w:r>
    </w:p>
    <w:p w:rsidR="001F7582" w:rsidRPr="00503354" w:rsidRDefault="001F7582" w:rsidP="00503354">
      <w:pPr>
        <w:pStyle w:val="ListParagraph"/>
        <w:numPr>
          <w:ilvl w:val="0"/>
          <w:numId w:val="1"/>
        </w:numPr>
        <w:spacing w:after="60" w:line="240" w:lineRule="auto"/>
        <w:contextualSpacing w:val="0"/>
        <w:rPr>
          <w:rFonts w:ascii="Arial" w:hAnsi="Arial" w:cs="Arial"/>
        </w:rPr>
      </w:pPr>
      <w:r w:rsidRPr="00503354">
        <w:rPr>
          <w:rFonts w:ascii="Arial" w:hAnsi="Arial" w:cs="Arial"/>
        </w:rPr>
        <w:t>the attentional demands on children (e.g., repeating refrains to help children listening and actively participate);</w:t>
      </w:r>
    </w:p>
    <w:p w:rsidR="001F7582" w:rsidRPr="00503354" w:rsidRDefault="001F7582" w:rsidP="00503354">
      <w:pPr>
        <w:pStyle w:val="ListParagraph"/>
        <w:numPr>
          <w:ilvl w:val="0"/>
          <w:numId w:val="1"/>
        </w:numPr>
        <w:spacing w:after="60" w:line="240" w:lineRule="auto"/>
        <w:contextualSpacing w:val="0"/>
        <w:rPr>
          <w:rFonts w:ascii="Arial" w:hAnsi="Arial" w:cs="Arial"/>
        </w:rPr>
      </w:pPr>
      <w:r w:rsidRPr="00503354">
        <w:rPr>
          <w:rFonts w:ascii="Arial" w:hAnsi="Arial" w:cs="Arial"/>
        </w:rPr>
        <w:t>the timing/immediacy of support that children receive during the read-aloud (e.g., building in-text scaffolds such as use of pictures or props); and</w:t>
      </w:r>
    </w:p>
    <w:p w:rsidR="001F7582" w:rsidRPr="00503354" w:rsidRDefault="001F7582" w:rsidP="00503354">
      <w:pPr>
        <w:pStyle w:val="ListParagraph"/>
        <w:numPr>
          <w:ilvl w:val="0"/>
          <w:numId w:val="1"/>
        </w:numPr>
        <w:spacing w:after="120" w:line="240" w:lineRule="auto"/>
        <w:contextualSpacing w:val="0"/>
        <w:rPr>
          <w:rFonts w:ascii="Arial" w:hAnsi="Arial" w:cs="Arial"/>
        </w:rPr>
      </w:pPr>
      <w:proofErr w:type="gramStart"/>
      <w:r w:rsidRPr="00503354">
        <w:rPr>
          <w:rFonts w:ascii="Arial" w:hAnsi="Arial" w:cs="Arial"/>
        </w:rPr>
        <w:t>the</w:t>
      </w:r>
      <w:proofErr w:type="gramEnd"/>
      <w:r w:rsidRPr="00503354">
        <w:rPr>
          <w:rFonts w:ascii="Arial" w:hAnsi="Arial" w:cs="Arial"/>
        </w:rPr>
        <w:t xml:space="preserve"> explicit attention to vocabulary.</w:t>
      </w:r>
    </w:p>
    <w:p w:rsidR="001F7582" w:rsidRPr="00503354" w:rsidRDefault="001F7582" w:rsidP="00503354">
      <w:pPr>
        <w:spacing w:after="120" w:line="240" w:lineRule="auto"/>
        <w:rPr>
          <w:rFonts w:ascii="Arial" w:hAnsi="Arial" w:cs="Arial"/>
        </w:rPr>
      </w:pPr>
      <w:r w:rsidRPr="00503354">
        <w:rPr>
          <w:rFonts w:ascii="Arial" w:hAnsi="Arial" w:cs="Arial"/>
        </w:rPr>
        <w:t>These adjustments are effective ways to adapt or individualize instruction for diverse learners. Rather than simply suggest teachers make these adjustments on their own, the Supplemental Guide will provide fully developed lessons that illustrate these adjustments.</w:t>
      </w:r>
    </w:p>
    <w:p w:rsidR="001F7582" w:rsidRPr="00503354" w:rsidRDefault="001F7582" w:rsidP="00503354">
      <w:pPr>
        <w:spacing w:after="120" w:line="240" w:lineRule="auto"/>
        <w:rPr>
          <w:rFonts w:ascii="Arial" w:hAnsi="Arial" w:cs="Arial"/>
        </w:rPr>
      </w:pPr>
      <w:r w:rsidRPr="00503354">
        <w:rPr>
          <w:rFonts w:ascii="Arial" w:hAnsi="Arial" w:cs="Arial"/>
        </w:rPr>
        <w:t xml:space="preserve">The </w:t>
      </w:r>
      <w:r w:rsidRPr="00503354">
        <w:rPr>
          <w:rFonts w:ascii="Arial" w:hAnsi="Arial" w:cs="Arial"/>
          <w:i/>
        </w:rPr>
        <w:t>Supplemental Guide</w:t>
      </w:r>
      <w:r w:rsidRPr="00503354">
        <w:rPr>
          <w:rFonts w:ascii="Arial" w:hAnsi="Arial" w:cs="Arial"/>
        </w:rPr>
        <w:t xml:space="preserve"> has been created </w:t>
      </w:r>
      <w:r w:rsidR="00503354">
        <w:rPr>
          <w:rFonts w:ascii="Arial" w:hAnsi="Arial" w:cs="Arial"/>
        </w:rPr>
        <w:t>for all Kindergarten domains (1</w:t>
      </w:r>
      <w:r w:rsidRPr="00503354">
        <w:rPr>
          <w:rFonts w:ascii="Arial" w:hAnsi="Arial" w:cs="Arial"/>
        </w:rPr>
        <w:t xml:space="preserve">–12) and the first three domains of Grade 1 and 2.  For the remaining Grade 1 and 2 domains, a </w:t>
      </w:r>
      <w:r w:rsidR="00742AC3">
        <w:rPr>
          <w:rFonts w:ascii="Arial" w:hAnsi="Arial" w:cs="Arial"/>
          <w:i/>
        </w:rPr>
        <w:t xml:space="preserve">Transition </w:t>
      </w:r>
      <w:r w:rsidRPr="00503354">
        <w:rPr>
          <w:rFonts w:ascii="Arial" w:hAnsi="Arial" w:cs="Arial"/>
          <w:i/>
        </w:rPr>
        <w:t>Supplemental Guide</w:t>
      </w:r>
      <w:r w:rsidRPr="00503354">
        <w:rPr>
          <w:rFonts w:ascii="Arial" w:hAnsi="Arial" w:cs="Arial"/>
        </w:rPr>
        <w:t xml:space="preserve"> has been developed.  This guide still contains Vocabulary Charts and </w:t>
      </w:r>
      <w:r w:rsidRPr="00503354">
        <w:rPr>
          <w:rFonts w:ascii="Arial" w:hAnsi="Arial" w:cs="Arial"/>
          <w:i/>
          <w:iCs/>
        </w:rPr>
        <w:t xml:space="preserve">Supplemental Guide </w:t>
      </w:r>
      <w:r w:rsidRPr="00503354">
        <w:rPr>
          <w:rFonts w:ascii="Arial" w:hAnsi="Arial" w:cs="Arial"/>
        </w:rPr>
        <w:t>activities such as Multiple Meaning Word Activities, Syntactic Awareness Activities, and Vocabulary Instructional Activities. However, </w:t>
      </w:r>
      <w:r w:rsidRPr="00503354">
        <w:rPr>
          <w:rFonts w:ascii="Arial" w:hAnsi="Arial" w:cs="Arial"/>
          <w:i/>
          <w:iCs/>
        </w:rPr>
        <w:t>Transition Supplemental Guides </w:t>
      </w:r>
      <w:r w:rsidRPr="00503354">
        <w:rPr>
          <w:rFonts w:ascii="Arial" w:hAnsi="Arial" w:cs="Arial"/>
        </w:rPr>
        <w:t>do not have rewritten read-</w:t>
      </w:r>
      <w:proofErr w:type="spellStart"/>
      <w:r w:rsidRPr="00503354">
        <w:rPr>
          <w:rFonts w:ascii="Arial" w:hAnsi="Arial" w:cs="Arial"/>
        </w:rPr>
        <w:t>alouds</w:t>
      </w:r>
      <w:proofErr w:type="spellEnd"/>
      <w:r w:rsidRPr="00503354">
        <w:rPr>
          <w:rFonts w:ascii="Arial" w:hAnsi="Arial" w:cs="Arial"/>
        </w:rPr>
        <w:t xml:space="preserve"> and do not adjust the pacing of instruction; the pacing and read-aloud text included in each </w:t>
      </w:r>
      <w:r w:rsidRPr="00503354">
        <w:rPr>
          <w:rFonts w:ascii="Arial" w:hAnsi="Arial" w:cs="Arial"/>
          <w:i/>
          <w:iCs/>
        </w:rPr>
        <w:t>Transition Supplemental Guide </w:t>
      </w:r>
      <w:r w:rsidRPr="00503354">
        <w:rPr>
          <w:rFonts w:ascii="Arial" w:hAnsi="Arial" w:cs="Arial"/>
        </w:rPr>
        <w:t>is identical to the pacing and read-aloud text in the corresponding </w:t>
      </w:r>
      <w:r w:rsidRPr="00503354">
        <w:rPr>
          <w:rFonts w:ascii="Arial" w:hAnsi="Arial" w:cs="Arial"/>
          <w:i/>
          <w:iCs/>
        </w:rPr>
        <w:t xml:space="preserve">Tell It Again! Read-Aloud Anthology.  </w:t>
      </w:r>
      <w:r w:rsidRPr="00503354">
        <w:rPr>
          <w:rFonts w:ascii="Arial" w:hAnsi="Arial" w:cs="Arial"/>
          <w:iCs/>
        </w:rPr>
        <w:t>However, t</w:t>
      </w:r>
      <w:r w:rsidRPr="00503354">
        <w:rPr>
          <w:rFonts w:ascii="Arial" w:hAnsi="Arial" w:cs="Arial"/>
        </w:rPr>
        <w:t>he introductions and extensions have been augmented</w:t>
      </w:r>
      <w:r w:rsidRPr="00503354">
        <w:rPr>
          <w:rFonts w:ascii="Arial" w:hAnsi="Arial" w:cs="Arial"/>
          <w:i/>
          <w:iCs/>
        </w:rPr>
        <w:t> </w:t>
      </w:r>
      <w:r w:rsidRPr="00503354">
        <w:rPr>
          <w:rFonts w:ascii="Arial" w:hAnsi="Arial" w:cs="Arial"/>
        </w:rPr>
        <w:t>so teachers have additional resources for students who need greater English language support. As a result, there are often more activities suggested than can be completed in the allotted time for the introduction</w:t>
      </w:r>
      <w:r w:rsidR="00503354" w:rsidRPr="00503354">
        <w:rPr>
          <w:rFonts w:ascii="Arial" w:hAnsi="Arial" w:cs="Arial"/>
        </w:rPr>
        <w:t>. Teachers will need to make informed and conscious decisions in light of their particular students’ needs when choosing which activities to complete and which to omit. We strongly recommend that teachers preview the Domain Assessment prior to teaching this domain; this will provide an additional way to inform their activity choices. </w:t>
      </w:r>
    </w:p>
    <w:p w:rsidR="001F7582" w:rsidRPr="00503354" w:rsidRDefault="001F7582" w:rsidP="00503354">
      <w:pPr>
        <w:spacing w:after="0" w:line="240" w:lineRule="auto"/>
        <w:rPr>
          <w:rFonts w:ascii="Arial" w:hAnsi="Arial" w:cs="Arial"/>
        </w:rPr>
      </w:pPr>
    </w:p>
    <w:tbl>
      <w:tblPr>
        <w:tblW w:w="9668" w:type="dxa"/>
        <w:tblInd w:w="-10" w:type="dxa"/>
        <w:tblCellMar>
          <w:left w:w="0" w:type="dxa"/>
          <w:right w:w="0" w:type="dxa"/>
        </w:tblCellMar>
        <w:tblLook w:val="0420" w:firstRow="1" w:lastRow="0" w:firstColumn="0" w:lastColumn="0" w:noHBand="0" w:noVBand="1"/>
      </w:tblPr>
      <w:tblGrid>
        <w:gridCol w:w="929"/>
        <w:gridCol w:w="716"/>
        <w:gridCol w:w="716"/>
        <w:gridCol w:w="716"/>
        <w:gridCol w:w="741"/>
        <w:gridCol w:w="741"/>
        <w:gridCol w:w="741"/>
        <w:gridCol w:w="741"/>
        <w:gridCol w:w="741"/>
        <w:gridCol w:w="741"/>
        <w:gridCol w:w="702"/>
        <w:gridCol w:w="702"/>
        <w:gridCol w:w="741"/>
      </w:tblGrid>
      <w:tr w:rsidR="001F7582" w:rsidRPr="00503354" w:rsidTr="001F7582">
        <w:trPr>
          <w:trHeight w:val="178"/>
        </w:trPr>
        <w:tc>
          <w:tcPr>
            <w:tcW w:w="93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rPr>
            </w:pPr>
          </w:p>
        </w:tc>
        <w:tc>
          <w:tcPr>
            <w:tcW w:w="8736" w:type="dxa"/>
            <w:gridSpan w:val="1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jc w:val="center"/>
              <w:rPr>
                <w:rFonts w:ascii="Arial" w:hAnsi="Arial" w:cs="Arial"/>
              </w:rPr>
            </w:pPr>
            <w:r w:rsidRPr="00503354">
              <w:rPr>
                <w:rFonts w:ascii="Arial" w:hAnsi="Arial" w:cs="Arial"/>
              </w:rPr>
              <w:t>L&amp;L Domains</w:t>
            </w:r>
          </w:p>
        </w:tc>
      </w:tr>
      <w:tr w:rsidR="001F7582" w:rsidRPr="00503354" w:rsidTr="00503354">
        <w:trPr>
          <w:trHeight w:val="340"/>
        </w:trPr>
        <w:tc>
          <w:tcPr>
            <w:tcW w:w="93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rPr>
            </w:pPr>
            <w:r w:rsidRPr="00503354">
              <w:rPr>
                <w:rFonts w:ascii="Arial" w:hAnsi="Arial" w:cs="Arial"/>
              </w:rPr>
              <w:t>Grade</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rPr>
            </w:pPr>
            <w:r w:rsidRPr="00503354">
              <w:rPr>
                <w:rFonts w:ascii="Arial" w:hAnsi="Arial" w:cs="Arial"/>
              </w:rPr>
              <w:t>1</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rPr>
            </w:pPr>
            <w:r w:rsidRPr="00503354">
              <w:rPr>
                <w:rFonts w:ascii="Arial" w:hAnsi="Arial" w:cs="Arial"/>
              </w:rPr>
              <w:t>2</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rPr>
            </w:pPr>
            <w:r w:rsidRPr="00503354">
              <w:rPr>
                <w:rFonts w:ascii="Arial" w:hAnsi="Arial" w:cs="Arial"/>
              </w:rPr>
              <w:t xml:space="preserve"> 3</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rPr>
            </w:pPr>
            <w:r w:rsidRPr="00503354">
              <w:rPr>
                <w:rFonts w:ascii="Arial" w:hAnsi="Arial" w:cs="Arial"/>
              </w:rPr>
              <w:t>4</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rPr>
            </w:pPr>
            <w:r w:rsidRPr="00503354">
              <w:rPr>
                <w:rFonts w:ascii="Arial" w:hAnsi="Arial" w:cs="Arial"/>
              </w:rPr>
              <w:t>5</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rPr>
            </w:pPr>
            <w:r w:rsidRPr="00503354">
              <w:rPr>
                <w:rFonts w:ascii="Arial" w:hAnsi="Arial" w:cs="Arial"/>
              </w:rPr>
              <w:t>6</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rPr>
            </w:pPr>
            <w:r w:rsidRPr="00503354">
              <w:rPr>
                <w:rFonts w:ascii="Arial" w:hAnsi="Arial" w:cs="Arial"/>
              </w:rPr>
              <w:t>7</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rPr>
            </w:pPr>
            <w:r w:rsidRPr="00503354">
              <w:rPr>
                <w:rFonts w:ascii="Arial" w:hAnsi="Arial" w:cs="Arial"/>
              </w:rPr>
              <w:t>8</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rPr>
            </w:pPr>
            <w:r w:rsidRPr="00503354">
              <w:rPr>
                <w:rFonts w:ascii="Arial" w:hAnsi="Arial" w:cs="Arial"/>
              </w:rPr>
              <w:t>9</w:t>
            </w:r>
          </w:p>
        </w:tc>
        <w:tc>
          <w:tcPr>
            <w:tcW w:w="728" w:type="dxa"/>
            <w:tcBorders>
              <w:top w:val="single" w:sz="8" w:space="0" w:color="000000"/>
              <w:left w:val="single" w:sz="8" w:space="0" w:color="000000"/>
              <w:bottom w:val="single" w:sz="8" w:space="0" w:color="000000"/>
              <w:right w:val="single" w:sz="8" w:space="0" w:color="000000"/>
            </w:tcBorders>
          </w:tcPr>
          <w:p w:rsidR="001F7582" w:rsidRPr="00503354" w:rsidRDefault="001F7582" w:rsidP="00503354">
            <w:pPr>
              <w:spacing w:after="0" w:line="240" w:lineRule="auto"/>
              <w:rPr>
                <w:rFonts w:ascii="Arial" w:hAnsi="Arial" w:cs="Arial"/>
              </w:rPr>
            </w:pPr>
            <w:r w:rsidRPr="00503354">
              <w:rPr>
                <w:rFonts w:ascii="Arial" w:hAnsi="Arial" w:cs="Arial"/>
              </w:rPr>
              <w:t>10</w:t>
            </w:r>
          </w:p>
        </w:tc>
        <w:tc>
          <w:tcPr>
            <w:tcW w:w="728" w:type="dxa"/>
            <w:tcBorders>
              <w:top w:val="single" w:sz="8" w:space="0" w:color="000000"/>
              <w:left w:val="single" w:sz="8" w:space="0" w:color="000000"/>
              <w:bottom w:val="single" w:sz="8" w:space="0" w:color="000000"/>
              <w:right w:val="single" w:sz="8" w:space="0" w:color="000000"/>
            </w:tcBorders>
          </w:tcPr>
          <w:p w:rsidR="001F7582" w:rsidRPr="00503354" w:rsidRDefault="001F7582" w:rsidP="00503354">
            <w:pPr>
              <w:spacing w:after="0" w:line="240" w:lineRule="auto"/>
              <w:rPr>
                <w:rFonts w:ascii="Arial" w:hAnsi="Arial" w:cs="Arial"/>
              </w:rPr>
            </w:pPr>
            <w:r w:rsidRPr="00503354">
              <w:rPr>
                <w:rFonts w:ascii="Arial" w:hAnsi="Arial" w:cs="Arial"/>
              </w:rPr>
              <w:t>11</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rPr>
            </w:pPr>
            <w:r w:rsidRPr="00503354">
              <w:rPr>
                <w:rFonts w:ascii="Arial" w:hAnsi="Arial" w:cs="Arial"/>
              </w:rPr>
              <w:t>12</w:t>
            </w:r>
          </w:p>
        </w:tc>
      </w:tr>
      <w:tr w:rsidR="001F7582" w:rsidRPr="00503354" w:rsidTr="001F7582">
        <w:trPr>
          <w:trHeight w:val="313"/>
        </w:trPr>
        <w:tc>
          <w:tcPr>
            <w:tcW w:w="93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rPr>
            </w:pPr>
            <w:r w:rsidRPr="00503354">
              <w:rPr>
                <w:rFonts w:ascii="Arial" w:hAnsi="Arial" w:cs="Arial"/>
              </w:rPr>
              <w:t>K</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r>
      <w:tr w:rsidR="001F7582" w:rsidRPr="00503354" w:rsidTr="001F7582">
        <w:trPr>
          <w:trHeight w:val="331"/>
        </w:trPr>
        <w:tc>
          <w:tcPr>
            <w:tcW w:w="93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rPr>
            </w:pPr>
            <w:r w:rsidRPr="00503354">
              <w:rPr>
                <w:rFonts w:ascii="Arial" w:hAnsi="Arial" w:cs="Arial"/>
              </w:rPr>
              <w:t>1</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c>
          <w:tcPr>
            <w:tcW w:w="728" w:type="dxa"/>
            <w:tcBorders>
              <w:top w:val="single" w:sz="8" w:space="0" w:color="000000"/>
              <w:left w:val="single" w:sz="8" w:space="0" w:color="000000"/>
              <w:bottom w:val="single" w:sz="8" w:space="0" w:color="000000"/>
              <w:right w:val="single" w:sz="8" w:space="0" w:color="000000"/>
            </w:tcBorders>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c>
          <w:tcPr>
            <w:tcW w:w="728" w:type="dxa"/>
            <w:tcBorders>
              <w:top w:val="single" w:sz="8" w:space="0" w:color="000000"/>
              <w:left w:val="single" w:sz="8" w:space="0" w:color="000000"/>
              <w:bottom w:val="single" w:sz="8" w:space="0" w:color="000000"/>
              <w:right w:val="single" w:sz="8" w:space="0" w:color="000000"/>
            </w:tcBorders>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c>
          <w:tcPr>
            <w:tcW w:w="728" w:type="dxa"/>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002060"/>
              </w:rPr>
            </w:pPr>
          </w:p>
        </w:tc>
      </w:tr>
      <w:tr w:rsidR="001F7582" w:rsidRPr="00503354" w:rsidTr="001F7582">
        <w:trPr>
          <w:trHeight w:val="160"/>
        </w:trPr>
        <w:tc>
          <w:tcPr>
            <w:tcW w:w="93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rPr>
            </w:pPr>
            <w:r w:rsidRPr="00503354">
              <w:rPr>
                <w:rFonts w:ascii="Arial" w:hAnsi="Arial" w:cs="Arial"/>
              </w:rPr>
              <w:t>2</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C00000"/>
              </w:rPr>
            </w:pPr>
            <w:r w:rsidRPr="00503354">
              <w:rPr>
                <w:rFonts w:ascii="Arial" w:hAnsi="Arial" w:cs="Arial"/>
                <w:b/>
                <w:bCs/>
                <w:i/>
                <w:iCs/>
                <w:color w:val="C00000"/>
              </w:rPr>
              <w: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c>
          <w:tcPr>
            <w:tcW w:w="728" w:type="dxa"/>
            <w:tcBorders>
              <w:top w:val="single" w:sz="8" w:space="0" w:color="000000"/>
              <w:left w:val="single" w:sz="8" w:space="0" w:color="000000"/>
              <w:bottom w:val="single" w:sz="8" w:space="0" w:color="000000"/>
              <w:right w:val="single" w:sz="8" w:space="0" w:color="000000"/>
            </w:tcBorders>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c>
          <w:tcPr>
            <w:tcW w:w="728" w:type="dxa"/>
            <w:tcBorders>
              <w:top w:val="single" w:sz="8" w:space="0" w:color="000000"/>
              <w:left w:val="single" w:sz="8" w:space="0" w:color="000000"/>
              <w:bottom w:val="single" w:sz="8" w:space="0" w:color="000000"/>
              <w:right w:val="single" w:sz="8" w:space="0" w:color="000000"/>
            </w:tcBorders>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c>
          <w:tcPr>
            <w:tcW w:w="7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F7582" w:rsidRPr="00503354" w:rsidRDefault="001F7582" w:rsidP="00503354">
            <w:pPr>
              <w:spacing w:after="0" w:line="240" w:lineRule="auto"/>
              <w:rPr>
                <w:rFonts w:ascii="Arial" w:hAnsi="Arial" w:cs="Arial"/>
                <w:color w:val="002060"/>
              </w:rPr>
            </w:pPr>
            <w:r w:rsidRPr="00503354">
              <w:rPr>
                <w:rFonts w:ascii="Arial" w:hAnsi="Arial" w:cs="Arial"/>
                <w:b/>
                <w:bCs/>
                <w:i/>
                <w:iCs/>
                <w:color w:val="002060"/>
              </w:rPr>
              <w:t>TSG</w:t>
            </w:r>
          </w:p>
        </w:tc>
      </w:tr>
      <w:tr w:rsidR="001F7582" w:rsidRPr="00503354" w:rsidTr="001F7582">
        <w:trPr>
          <w:trHeight w:val="538"/>
        </w:trPr>
        <w:tc>
          <w:tcPr>
            <w:tcW w:w="9668" w:type="dxa"/>
            <w:gridSpan w:val="1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1F7582" w:rsidRPr="00503354" w:rsidRDefault="001F7582" w:rsidP="00503354">
            <w:pPr>
              <w:spacing w:before="40" w:after="40" w:line="240" w:lineRule="auto"/>
              <w:rPr>
                <w:rFonts w:ascii="Arial" w:hAnsi="Arial" w:cs="Arial"/>
                <w:b/>
                <w:bCs/>
                <w:i/>
                <w:iCs/>
                <w:color w:val="C00000"/>
              </w:rPr>
            </w:pPr>
            <w:r w:rsidRPr="00503354">
              <w:rPr>
                <w:rFonts w:ascii="Arial" w:hAnsi="Arial" w:cs="Arial"/>
                <w:b/>
                <w:bCs/>
                <w:i/>
                <w:iCs/>
                <w:color w:val="C00000"/>
              </w:rPr>
              <w:t>SG –Supplemental Guide</w:t>
            </w:r>
          </w:p>
          <w:p w:rsidR="001F7582" w:rsidRPr="00503354" w:rsidRDefault="00742AC3" w:rsidP="00503354">
            <w:pPr>
              <w:spacing w:before="40" w:after="40" w:line="240" w:lineRule="auto"/>
              <w:rPr>
                <w:rFonts w:ascii="Arial" w:hAnsi="Arial" w:cs="Arial"/>
                <w:b/>
                <w:bCs/>
                <w:i/>
                <w:iCs/>
              </w:rPr>
            </w:pPr>
            <w:r>
              <w:rPr>
                <w:rFonts w:ascii="Arial" w:hAnsi="Arial" w:cs="Arial"/>
                <w:b/>
                <w:bCs/>
                <w:i/>
                <w:iCs/>
                <w:color w:val="002060"/>
              </w:rPr>
              <w:t>TSG – Transition</w:t>
            </w:r>
            <w:r w:rsidR="001F7582" w:rsidRPr="00503354">
              <w:rPr>
                <w:rFonts w:ascii="Arial" w:hAnsi="Arial" w:cs="Arial"/>
                <w:b/>
                <w:bCs/>
                <w:i/>
                <w:iCs/>
                <w:color w:val="002060"/>
              </w:rPr>
              <w:t xml:space="preserve"> Supplemental Guide</w:t>
            </w:r>
          </w:p>
        </w:tc>
      </w:tr>
    </w:tbl>
    <w:p w:rsidR="001F7582" w:rsidRPr="00503354" w:rsidRDefault="001F7582" w:rsidP="00503354">
      <w:pPr>
        <w:spacing w:after="0" w:line="240" w:lineRule="auto"/>
        <w:rPr>
          <w:rFonts w:ascii="Arial" w:hAnsi="Arial" w:cs="Arial"/>
        </w:rPr>
      </w:pPr>
    </w:p>
    <w:sectPr w:rsidR="001F7582" w:rsidRPr="00503354" w:rsidSect="00EC40BE">
      <w:footerReference w:type="default" r:id="rId8"/>
      <w:pgSz w:w="12240" w:h="15840"/>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0BE" w:rsidRDefault="00EC40BE" w:rsidP="00EC40BE">
      <w:pPr>
        <w:spacing w:after="0" w:line="240" w:lineRule="auto"/>
      </w:pPr>
      <w:r>
        <w:separator/>
      </w:r>
    </w:p>
  </w:endnote>
  <w:endnote w:type="continuationSeparator" w:id="0">
    <w:p w:rsidR="00EC40BE" w:rsidRDefault="00EC40BE" w:rsidP="00EC4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0BE" w:rsidRDefault="00EC40BE" w:rsidP="00EC40BE">
    <w:pPr>
      <w:pStyle w:val="Footer"/>
    </w:pPr>
    <w:r>
      <w:t>© 2</w:t>
    </w:r>
    <w:r>
      <w:t xml:space="preserve">014 Core Knowledge Foundation. </w:t>
    </w:r>
    <w:r>
      <w:t xml:space="preserve">This work is licensed under a Creative </w:t>
    </w:r>
    <w:proofErr w:type="gramStart"/>
    <w:r>
      <w:t>Commons  Attribution</w:t>
    </w:r>
    <w:proofErr w:type="gramEnd"/>
    <w:r>
      <w:t>-</w:t>
    </w:r>
    <w:proofErr w:type="spellStart"/>
    <w:r>
      <w:t>NonCommercial</w:t>
    </w:r>
    <w:proofErr w:type="spellEnd"/>
    <w:r>
      <w:t>-</w:t>
    </w:r>
    <w:proofErr w:type="spellStart"/>
    <w:r>
      <w:t>Sha</w:t>
    </w:r>
    <w:r>
      <w:t>reAlike</w:t>
    </w:r>
    <w:proofErr w:type="spellEnd"/>
    <w:r>
      <w:t xml:space="preserve"> 3.0 </w:t>
    </w:r>
    <w:proofErr w:type="spellStart"/>
    <w:r>
      <w:t>Unported</w:t>
    </w:r>
    <w:proofErr w:type="spellEnd"/>
    <w:r>
      <w:t xml:space="preserve"> License.  </w:t>
    </w:r>
    <w:r>
      <w:t>www.creativecommons.org/licenses/by-nc-sa/3.0</w:t>
    </w:r>
  </w:p>
  <w:p w:rsidR="00EC40BE" w:rsidRDefault="00EC40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0BE" w:rsidRDefault="00EC40BE" w:rsidP="00EC40BE">
      <w:pPr>
        <w:spacing w:after="0" w:line="240" w:lineRule="auto"/>
      </w:pPr>
      <w:r>
        <w:separator/>
      </w:r>
    </w:p>
  </w:footnote>
  <w:footnote w:type="continuationSeparator" w:id="0">
    <w:p w:rsidR="00EC40BE" w:rsidRDefault="00EC40BE" w:rsidP="00EC40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D03DA"/>
    <w:multiLevelType w:val="hybridMultilevel"/>
    <w:tmpl w:val="0606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6A0D3B"/>
    <w:multiLevelType w:val="hybridMultilevel"/>
    <w:tmpl w:val="A4B8C90C"/>
    <w:lvl w:ilvl="0" w:tplc="46CC804E">
      <w:start w:val="1"/>
      <w:numFmt w:val="bullet"/>
      <w:lvlText w:val="•"/>
      <w:lvlJc w:val="left"/>
      <w:pPr>
        <w:tabs>
          <w:tab w:val="num" w:pos="720"/>
        </w:tabs>
        <w:ind w:left="720" w:hanging="360"/>
      </w:pPr>
      <w:rPr>
        <w:rFonts w:ascii="Arial" w:hAnsi="Arial" w:hint="default"/>
      </w:rPr>
    </w:lvl>
    <w:lvl w:ilvl="1" w:tplc="A3F69846" w:tentative="1">
      <w:start w:val="1"/>
      <w:numFmt w:val="bullet"/>
      <w:lvlText w:val="•"/>
      <w:lvlJc w:val="left"/>
      <w:pPr>
        <w:tabs>
          <w:tab w:val="num" w:pos="1440"/>
        </w:tabs>
        <w:ind w:left="1440" w:hanging="360"/>
      </w:pPr>
      <w:rPr>
        <w:rFonts w:ascii="Arial" w:hAnsi="Arial" w:hint="default"/>
      </w:rPr>
    </w:lvl>
    <w:lvl w:ilvl="2" w:tplc="308840EA" w:tentative="1">
      <w:start w:val="1"/>
      <w:numFmt w:val="bullet"/>
      <w:lvlText w:val="•"/>
      <w:lvlJc w:val="left"/>
      <w:pPr>
        <w:tabs>
          <w:tab w:val="num" w:pos="2160"/>
        </w:tabs>
        <w:ind w:left="2160" w:hanging="360"/>
      </w:pPr>
      <w:rPr>
        <w:rFonts w:ascii="Arial" w:hAnsi="Arial" w:hint="default"/>
      </w:rPr>
    </w:lvl>
    <w:lvl w:ilvl="3" w:tplc="A07C3BF6" w:tentative="1">
      <w:start w:val="1"/>
      <w:numFmt w:val="bullet"/>
      <w:lvlText w:val="•"/>
      <w:lvlJc w:val="left"/>
      <w:pPr>
        <w:tabs>
          <w:tab w:val="num" w:pos="2880"/>
        </w:tabs>
        <w:ind w:left="2880" w:hanging="360"/>
      </w:pPr>
      <w:rPr>
        <w:rFonts w:ascii="Arial" w:hAnsi="Arial" w:hint="default"/>
      </w:rPr>
    </w:lvl>
    <w:lvl w:ilvl="4" w:tplc="A9C0CCE8" w:tentative="1">
      <w:start w:val="1"/>
      <w:numFmt w:val="bullet"/>
      <w:lvlText w:val="•"/>
      <w:lvlJc w:val="left"/>
      <w:pPr>
        <w:tabs>
          <w:tab w:val="num" w:pos="3600"/>
        </w:tabs>
        <w:ind w:left="3600" w:hanging="360"/>
      </w:pPr>
      <w:rPr>
        <w:rFonts w:ascii="Arial" w:hAnsi="Arial" w:hint="default"/>
      </w:rPr>
    </w:lvl>
    <w:lvl w:ilvl="5" w:tplc="801071C6" w:tentative="1">
      <w:start w:val="1"/>
      <w:numFmt w:val="bullet"/>
      <w:lvlText w:val="•"/>
      <w:lvlJc w:val="left"/>
      <w:pPr>
        <w:tabs>
          <w:tab w:val="num" w:pos="4320"/>
        </w:tabs>
        <w:ind w:left="4320" w:hanging="360"/>
      </w:pPr>
      <w:rPr>
        <w:rFonts w:ascii="Arial" w:hAnsi="Arial" w:hint="default"/>
      </w:rPr>
    </w:lvl>
    <w:lvl w:ilvl="6" w:tplc="59E03AD6" w:tentative="1">
      <w:start w:val="1"/>
      <w:numFmt w:val="bullet"/>
      <w:lvlText w:val="•"/>
      <w:lvlJc w:val="left"/>
      <w:pPr>
        <w:tabs>
          <w:tab w:val="num" w:pos="5040"/>
        </w:tabs>
        <w:ind w:left="5040" w:hanging="360"/>
      </w:pPr>
      <w:rPr>
        <w:rFonts w:ascii="Arial" w:hAnsi="Arial" w:hint="default"/>
      </w:rPr>
    </w:lvl>
    <w:lvl w:ilvl="7" w:tplc="B74674FA" w:tentative="1">
      <w:start w:val="1"/>
      <w:numFmt w:val="bullet"/>
      <w:lvlText w:val="•"/>
      <w:lvlJc w:val="left"/>
      <w:pPr>
        <w:tabs>
          <w:tab w:val="num" w:pos="5760"/>
        </w:tabs>
        <w:ind w:left="5760" w:hanging="360"/>
      </w:pPr>
      <w:rPr>
        <w:rFonts w:ascii="Arial" w:hAnsi="Arial" w:hint="default"/>
      </w:rPr>
    </w:lvl>
    <w:lvl w:ilvl="8" w:tplc="FEF48B84"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582"/>
    <w:rsid w:val="001F7582"/>
    <w:rsid w:val="00503354"/>
    <w:rsid w:val="005F3B18"/>
    <w:rsid w:val="006E7EDF"/>
    <w:rsid w:val="00742AC3"/>
    <w:rsid w:val="007A0BC4"/>
    <w:rsid w:val="00E32407"/>
    <w:rsid w:val="00EC40BE"/>
    <w:rsid w:val="00F57F4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7582"/>
    <w:pPr>
      <w:ind w:left="720"/>
      <w:contextualSpacing/>
    </w:pPr>
  </w:style>
  <w:style w:type="paragraph" w:styleId="Header">
    <w:name w:val="header"/>
    <w:basedOn w:val="Normal"/>
    <w:link w:val="HeaderChar"/>
    <w:uiPriority w:val="99"/>
    <w:unhideWhenUsed/>
    <w:rsid w:val="00EC40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0BE"/>
  </w:style>
  <w:style w:type="paragraph" w:styleId="Footer">
    <w:name w:val="footer"/>
    <w:basedOn w:val="Normal"/>
    <w:link w:val="FooterChar"/>
    <w:uiPriority w:val="99"/>
    <w:unhideWhenUsed/>
    <w:rsid w:val="00EC40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0BE"/>
  </w:style>
  <w:style w:type="paragraph" w:styleId="BalloonText">
    <w:name w:val="Balloon Text"/>
    <w:basedOn w:val="Normal"/>
    <w:link w:val="BalloonTextChar"/>
    <w:uiPriority w:val="99"/>
    <w:semiHidden/>
    <w:unhideWhenUsed/>
    <w:rsid w:val="00EC40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0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7582"/>
    <w:pPr>
      <w:ind w:left="720"/>
      <w:contextualSpacing/>
    </w:pPr>
  </w:style>
  <w:style w:type="paragraph" w:styleId="Header">
    <w:name w:val="header"/>
    <w:basedOn w:val="Normal"/>
    <w:link w:val="HeaderChar"/>
    <w:uiPriority w:val="99"/>
    <w:unhideWhenUsed/>
    <w:rsid w:val="00EC40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0BE"/>
  </w:style>
  <w:style w:type="paragraph" w:styleId="Footer">
    <w:name w:val="footer"/>
    <w:basedOn w:val="Normal"/>
    <w:link w:val="FooterChar"/>
    <w:uiPriority w:val="99"/>
    <w:unhideWhenUsed/>
    <w:rsid w:val="00EC40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0BE"/>
  </w:style>
  <w:style w:type="paragraph" w:styleId="BalloonText">
    <w:name w:val="Balloon Text"/>
    <w:basedOn w:val="Normal"/>
    <w:link w:val="BalloonTextChar"/>
    <w:uiPriority w:val="99"/>
    <w:semiHidden/>
    <w:unhideWhenUsed/>
    <w:rsid w:val="00EC40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0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626720">
      <w:bodyDiv w:val="1"/>
      <w:marLeft w:val="0"/>
      <w:marRight w:val="0"/>
      <w:marTop w:val="0"/>
      <w:marBottom w:val="0"/>
      <w:divBdr>
        <w:top w:val="none" w:sz="0" w:space="0" w:color="auto"/>
        <w:left w:val="none" w:sz="0" w:space="0" w:color="auto"/>
        <w:bottom w:val="none" w:sz="0" w:space="0" w:color="auto"/>
        <w:right w:val="none" w:sz="0" w:space="0" w:color="auto"/>
      </w:divBdr>
    </w:div>
    <w:div w:id="1432631339">
      <w:bodyDiv w:val="1"/>
      <w:marLeft w:val="0"/>
      <w:marRight w:val="0"/>
      <w:marTop w:val="0"/>
      <w:marBottom w:val="0"/>
      <w:divBdr>
        <w:top w:val="none" w:sz="0" w:space="0" w:color="auto"/>
        <w:left w:val="none" w:sz="0" w:space="0" w:color="auto"/>
        <w:bottom w:val="none" w:sz="0" w:space="0" w:color="auto"/>
        <w:right w:val="none" w:sz="0" w:space="0" w:color="auto"/>
      </w:divBdr>
      <w:divsChild>
        <w:div w:id="1139565787">
          <w:marLeft w:val="446"/>
          <w:marRight w:val="0"/>
          <w:marTop w:val="120"/>
          <w:marBottom w:val="0"/>
          <w:divBdr>
            <w:top w:val="none" w:sz="0" w:space="0" w:color="auto"/>
            <w:left w:val="none" w:sz="0" w:space="0" w:color="auto"/>
            <w:bottom w:val="none" w:sz="0" w:space="0" w:color="auto"/>
            <w:right w:val="none" w:sz="0" w:space="0" w:color="auto"/>
          </w:divBdr>
        </w:div>
        <w:div w:id="1939094154">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Erland</dc:creator>
  <cp:keywords/>
  <dc:description/>
  <cp:lastModifiedBy>Christina Erland</cp:lastModifiedBy>
  <cp:revision>4</cp:revision>
  <dcterms:created xsi:type="dcterms:W3CDTF">2014-06-19T21:43:00Z</dcterms:created>
  <dcterms:modified xsi:type="dcterms:W3CDTF">2014-07-16T13:33:00Z</dcterms:modified>
</cp:coreProperties>
</file>