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68" w:rsidRPr="00451FFD" w:rsidRDefault="00451FFD" w:rsidP="00451FFD">
      <w:pPr>
        <w:spacing w:before="78" w:after="0" w:line="240" w:lineRule="auto"/>
        <w:ind w:right="609"/>
        <w:rPr>
          <w:rFonts w:eastAsia="Times New Roman" w:cs="Times New Roman"/>
        </w:rPr>
      </w:pPr>
      <w:r w:rsidRPr="00451FFD">
        <w:rPr>
          <w:rFonts w:eastAsia="Times New Roman" w:cs="Times New Roman"/>
          <w:b/>
          <w:bCs/>
          <w:spacing w:val="-10"/>
        </w:rPr>
        <w:t xml:space="preserve"> </w:t>
      </w:r>
      <w:r w:rsidRPr="00451FFD">
        <w:rPr>
          <w:rFonts w:eastAsia="Times New Roman" w:cs="Times New Roman"/>
          <w:i/>
        </w:rPr>
        <w:t>Use</w:t>
      </w:r>
      <w:r w:rsidRPr="00451FFD">
        <w:rPr>
          <w:rFonts w:eastAsia="Times New Roman" w:cs="Times New Roman"/>
          <w:i/>
          <w:spacing w:val="-3"/>
        </w:rPr>
        <w:t xml:space="preserve"> </w:t>
      </w:r>
      <w:r w:rsidRPr="00451FFD">
        <w:rPr>
          <w:rFonts w:eastAsia="Times New Roman" w:cs="Times New Roman"/>
          <w:i/>
        </w:rPr>
        <w:t>this</w:t>
      </w:r>
      <w:r w:rsidRPr="00451FFD">
        <w:rPr>
          <w:rFonts w:eastAsia="Times New Roman" w:cs="Times New Roman"/>
          <w:i/>
          <w:spacing w:val="-3"/>
        </w:rPr>
        <w:t xml:space="preserve"> </w:t>
      </w:r>
      <w:r w:rsidRPr="00451FFD">
        <w:rPr>
          <w:rFonts w:eastAsia="Times New Roman" w:cs="Times New Roman"/>
          <w:i/>
        </w:rPr>
        <w:t>sheet</w:t>
      </w:r>
      <w:r w:rsidRPr="00451FFD">
        <w:rPr>
          <w:rFonts w:eastAsia="Times New Roman" w:cs="Times New Roman"/>
          <w:i/>
          <w:spacing w:val="-5"/>
        </w:rPr>
        <w:t xml:space="preserve"> </w:t>
      </w:r>
      <w:r w:rsidRPr="00451FFD">
        <w:rPr>
          <w:rFonts w:eastAsia="Times New Roman" w:cs="Times New Roman"/>
          <w:i/>
        </w:rPr>
        <w:t>to</w:t>
      </w:r>
      <w:r w:rsidRPr="00451FFD">
        <w:rPr>
          <w:rFonts w:eastAsia="Times New Roman" w:cs="Times New Roman"/>
          <w:i/>
          <w:spacing w:val="-2"/>
        </w:rPr>
        <w:t xml:space="preserve"> </w:t>
      </w:r>
      <w:r w:rsidRPr="00451FFD">
        <w:rPr>
          <w:rFonts w:eastAsia="Times New Roman" w:cs="Times New Roman"/>
          <w:i/>
        </w:rPr>
        <w:t>sup</w:t>
      </w:r>
      <w:r w:rsidRPr="00451FFD">
        <w:rPr>
          <w:rFonts w:eastAsia="Times New Roman" w:cs="Times New Roman"/>
          <w:i/>
          <w:spacing w:val="-1"/>
        </w:rPr>
        <w:t>p</w:t>
      </w:r>
      <w:r w:rsidRPr="00451FFD">
        <w:rPr>
          <w:rFonts w:eastAsia="Times New Roman" w:cs="Times New Roman"/>
          <w:i/>
        </w:rPr>
        <w:t>ort</w:t>
      </w:r>
      <w:r w:rsidRPr="00451FFD">
        <w:rPr>
          <w:rFonts w:eastAsia="Times New Roman" w:cs="Times New Roman"/>
          <w:i/>
          <w:spacing w:val="-7"/>
        </w:rPr>
        <w:t xml:space="preserve"> </w:t>
      </w:r>
      <w:r w:rsidRPr="00451FFD">
        <w:rPr>
          <w:rFonts w:eastAsia="Times New Roman" w:cs="Times New Roman"/>
          <w:i/>
        </w:rPr>
        <w:t>yo</w:t>
      </w:r>
      <w:r w:rsidRPr="00451FFD">
        <w:rPr>
          <w:rFonts w:eastAsia="Times New Roman" w:cs="Times New Roman"/>
          <w:i/>
          <w:spacing w:val="-1"/>
        </w:rPr>
        <w:t>u</w:t>
      </w:r>
      <w:r w:rsidRPr="00451FFD">
        <w:rPr>
          <w:rFonts w:eastAsia="Times New Roman" w:cs="Times New Roman"/>
          <w:i/>
        </w:rPr>
        <w:t>r</w:t>
      </w:r>
      <w:r w:rsidRPr="00451FFD">
        <w:rPr>
          <w:rFonts w:eastAsia="Times New Roman" w:cs="Times New Roman"/>
          <w:i/>
          <w:spacing w:val="-4"/>
        </w:rPr>
        <w:t xml:space="preserve"> </w:t>
      </w:r>
      <w:r w:rsidRPr="00451FFD">
        <w:rPr>
          <w:rFonts w:eastAsia="Times New Roman" w:cs="Times New Roman"/>
          <w:i/>
        </w:rPr>
        <w:t>thinking</w:t>
      </w:r>
      <w:r w:rsidRPr="00451FFD">
        <w:rPr>
          <w:rFonts w:eastAsia="Times New Roman" w:cs="Times New Roman"/>
          <w:i/>
          <w:spacing w:val="-8"/>
        </w:rPr>
        <w:t xml:space="preserve"> </w:t>
      </w:r>
      <w:r w:rsidRPr="00451FFD">
        <w:rPr>
          <w:rFonts w:eastAsia="Times New Roman" w:cs="Times New Roman"/>
          <w:i/>
        </w:rPr>
        <w:t>a</w:t>
      </w:r>
      <w:r w:rsidRPr="00451FFD">
        <w:rPr>
          <w:rFonts w:eastAsia="Times New Roman" w:cs="Times New Roman"/>
          <w:i/>
          <w:spacing w:val="-1"/>
        </w:rPr>
        <w:t>b</w:t>
      </w:r>
      <w:r w:rsidRPr="00451FFD">
        <w:rPr>
          <w:rFonts w:eastAsia="Times New Roman" w:cs="Times New Roman"/>
          <w:i/>
        </w:rPr>
        <w:t>out</w:t>
      </w:r>
      <w:r w:rsidRPr="00451FFD">
        <w:rPr>
          <w:rFonts w:eastAsia="Times New Roman" w:cs="Times New Roman"/>
          <w:i/>
          <w:spacing w:val="-5"/>
        </w:rPr>
        <w:t xml:space="preserve"> </w:t>
      </w:r>
      <w:r w:rsidRPr="00451FFD">
        <w:rPr>
          <w:rFonts w:eastAsia="Times New Roman" w:cs="Times New Roman"/>
          <w:i/>
        </w:rPr>
        <w:t>gr</w:t>
      </w:r>
      <w:r w:rsidRPr="00451FFD">
        <w:rPr>
          <w:rFonts w:eastAsia="Times New Roman" w:cs="Times New Roman"/>
          <w:i/>
          <w:spacing w:val="-1"/>
        </w:rPr>
        <w:t>o</w:t>
      </w:r>
      <w:r w:rsidRPr="00451FFD">
        <w:rPr>
          <w:rFonts w:eastAsia="Times New Roman" w:cs="Times New Roman"/>
          <w:i/>
        </w:rPr>
        <w:t>upi</w:t>
      </w:r>
      <w:r w:rsidRPr="00451FFD">
        <w:rPr>
          <w:rFonts w:eastAsia="Times New Roman" w:cs="Times New Roman"/>
          <w:i/>
          <w:spacing w:val="-1"/>
        </w:rPr>
        <w:t>n</w:t>
      </w:r>
      <w:r w:rsidRPr="00451FFD">
        <w:rPr>
          <w:rFonts w:eastAsia="Times New Roman" w:cs="Times New Roman"/>
          <w:i/>
        </w:rPr>
        <w:t>g</w:t>
      </w:r>
      <w:r w:rsidRPr="00451FFD">
        <w:rPr>
          <w:rFonts w:eastAsia="Times New Roman" w:cs="Times New Roman"/>
          <w:i/>
          <w:spacing w:val="-8"/>
        </w:rPr>
        <w:t xml:space="preserve"> </w:t>
      </w:r>
      <w:r w:rsidRPr="00451FFD">
        <w:rPr>
          <w:rFonts w:eastAsia="Times New Roman" w:cs="Times New Roman"/>
          <w:i/>
        </w:rPr>
        <w:t>students</w:t>
      </w:r>
      <w:r w:rsidRPr="00451FFD">
        <w:rPr>
          <w:rFonts w:eastAsia="Times New Roman" w:cs="Times New Roman"/>
          <w:i/>
          <w:spacing w:val="-7"/>
        </w:rPr>
        <w:t xml:space="preserve"> </w:t>
      </w:r>
      <w:r w:rsidRPr="00451FFD">
        <w:rPr>
          <w:rFonts w:eastAsia="Times New Roman" w:cs="Times New Roman"/>
          <w:i/>
        </w:rPr>
        <w:t>with</w:t>
      </w:r>
      <w:r w:rsidRPr="00451FFD">
        <w:rPr>
          <w:rFonts w:eastAsia="Times New Roman" w:cs="Times New Roman"/>
          <w:i/>
          <w:spacing w:val="-1"/>
        </w:rPr>
        <w:t>i</w:t>
      </w:r>
      <w:r w:rsidRPr="00451FFD">
        <w:rPr>
          <w:rFonts w:eastAsia="Times New Roman" w:cs="Times New Roman"/>
          <w:i/>
        </w:rPr>
        <w:t>n your</w:t>
      </w:r>
      <w:r w:rsidRPr="00451FFD">
        <w:rPr>
          <w:rFonts w:eastAsia="Times New Roman" w:cs="Times New Roman"/>
          <w:i/>
          <w:spacing w:val="-4"/>
        </w:rPr>
        <w:t xml:space="preserve"> </w:t>
      </w:r>
      <w:r w:rsidRPr="00451FFD">
        <w:rPr>
          <w:rFonts w:eastAsia="Times New Roman" w:cs="Times New Roman"/>
          <w:i/>
        </w:rPr>
        <w:t>classroom/across</w:t>
      </w:r>
      <w:r w:rsidRPr="00451FFD">
        <w:rPr>
          <w:rFonts w:eastAsia="Times New Roman" w:cs="Times New Roman"/>
          <w:i/>
          <w:spacing w:val="-15"/>
        </w:rPr>
        <w:t xml:space="preserve"> </w:t>
      </w:r>
      <w:r w:rsidRPr="00451FFD">
        <w:rPr>
          <w:rFonts w:eastAsia="Times New Roman" w:cs="Times New Roman"/>
          <w:i/>
        </w:rPr>
        <w:t>yo</w:t>
      </w:r>
      <w:r w:rsidRPr="00451FFD">
        <w:rPr>
          <w:rFonts w:eastAsia="Times New Roman" w:cs="Times New Roman"/>
          <w:i/>
          <w:spacing w:val="2"/>
        </w:rPr>
        <w:t>u</w:t>
      </w:r>
      <w:r w:rsidRPr="00451FFD">
        <w:rPr>
          <w:rFonts w:eastAsia="Times New Roman" w:cs="Times New Roman"/>
          <w:i/>
        </w:rPr>
        <w:t>r</w:t>
      </w:r>
      <w:r w:rsidRPr="00451FFD">
        <w:rPr>
          <w:rFonts w:eastAsia="Times New Roman" w:cs="Times New Roman"/>
          <w:i/>
          <w:spacing w:val="-4"/>
        </w:rPr>
        <w:t xml:space="preserve"> </w:t>
      </w:r>
      <w:r w:rsidRPr="00451FFD">
        <w:rPr>
          <w:rFonts w:eastAsia="Times New Roman" w:cs="Times New Roman"/>
          <w:i/>
        </w:rPr>
        <w:t>grade.</w:t>
      </w:r>
    </w:p>
    <w:p w:rsidR="00453668" w:rsidRDefault="00453668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8"/>
        <w:gridCol w:w="6536"/>
      </w:tblGrid>
      <w:tr w:rsidR="00451FFD" w:rsidRPr="00451FFD" w:rsidTr="00451FFD">
        <w:trPr>
          <w:trHeight w:hRule="exact" w:val="575"/>
        </w:trPr>
        <w:tc>
          <w:tcPr>
            <w:tcW w:w="10884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451FFD" w:rsidRPr="00451FFD" w:rsidRDefault="00451FFD" w:rsidP="00607B8D">
            <w:pPr>
              <w:spacing w:before="120" w:after="120" w:line="240" w:lineRule="auto"/>
              <w:ind w:left="144" w:right="144"/>
              <w:rPr>
                <w:rFonts w:eastAsia="Times New Roman" w:cs="Times New Roman"/>
                <w:b/>
                <w:bCs/>
              </w:rPr>
            </w:pPr>
            <w:r w:rsidRPr="00451FFD">
              <w:rPr>
                <w:rFonts w:eastAsia="Times New Roman" w:cs="Times New Roman"/>
                <w:b/>
                <w:bCs/>
              </w:rPr>
              <w:t>Step</w:t>
            </w:r>
            <w:r w:rsidRPr="00451FFD">
              <w:rPr>
                <w:rFonts w:eastAsia="Times New Roman" w:cs="Times New Roman"/>
                <w:b/>
                <w:bCs/>
                <w:spacing w:val="-4"/>
              </w:rPr>
              <w:t xml:space="preserve"> </w:t>
            </w:r>
            <w:r w:rsidRPr="00451FFD">
              <w:rPr>
                <w:rFonts w:eastAsia="Times New Roman" w:cs="Times New Roman"/>
                <w:b/>
                <w:bCs/>
                <w:w w:val="99"/>
              </w:rPr>
              <w:t>1</w:t>
            </w:r>
            <w:r w:rsidR="00607B8D">
              <w:rPr>
                <w:rFonts w:eastAsia="Times New Roman" w:cs="Times New Roman"/>
                <w:b/>
                <w:bCs/>
                <w:w w:val="99"/>
              </w:rPr>
              <w:t xml:space="preserve">: EXAMINING STUDENT </w:t>
            </w:r>
            <w:bookmarkStart w:id="0" w:name="_GoBack"/>
            <w:bookmarkEnd w:id="0"/>
            <w:r w:rsidRPr="00451FFD">
              <w:rPr>
                <w:rFonts w:eastAsia="Times New Roman" w:cs="Times New Roman"/>
                <w:b/>
                <w:bCs/>
                <w:w w:val="99"/>
              </w:rPr>
              <w:t>DATA</w:t>
            </w:r>
          </w:p>
        </w:tc>
      </w:tr>
      <w:tr w:rsidR="00451FFD" w:rsidRPr="00451FFD" w:rsidTr="00451FFD">
        <w:trPr>
          <w:trHeight w:hRule="exact" w:val="677"/>
        </w:trPr>
        <w:tc>
          <w:tcPr>
            <w:tcW w:w="43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451FFD" w:rsidRPr="00451FFD" w:rsidRDefault="00451FFD" w:rsidP="00451FFD">
            <w:pPr>
              <w:spacing w:before="120" w:after="120" w:line="240" w:lineRule="auto"/>
              <w:ind w:left="144" w:right="144"/>
              <w:rPr>
                <w:rFonts w:eastAsia="Times New Roman" w:cs="Times New Roman"/>
              </w:rPr>
            </w:pPr>
            <w:r w:rsidRPr="00451FFD">
              <w:rPr>
                <w:rFonts w:eastAsia="Times New Roman" w:cs="Times New Roman"/>
                <w:b/>
                <w:bCs/>
              </w:rPr>
              <w:t>Questions</w:t>
            </w:r>
            <w:r w:rsidRPr="00451FFD">
              <w:rPr>
                <w:rFonts w:eastAsia="Times New Roman" w:cs="Times New Roman"/>
                <w:b/>
                <w:bCs/>
                <w:spacing w:val="-9"/>
              </w:rPr>
              <w:t xml:space="preserve"> </w:t>
            </w:r>
            <w:r w:rsidRPr="00451FFD">
              <w:rPr>
                <w:rFonts w:eastAsia="Times New Roman" w:cs="Times New Roman"/>
                <w:b/>
                <w:bCs/>
              </w:rPr>
              <w:t>to</w:t>
            </w:r>
            <w:r w:rsidRPr="00451FFD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r w:rsidRPr="00451FFD">
              <w:rPr>
                <w:rFonts w:eastAsia="Times New Roman" w:cs="Times New Roman"/>
                <w:b/>
                <w:bCs/>
              </w:rPr>
              <w:t>Consider</w:t>
            </w:r>
          </w:p>
        </w:tc>
        <w:tc>
          <w:tcPr>
            <w:tcW w:w="653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451FFD" w:rsidRPr="00451FFD" w:rsidRDefault="00451FFD" w:rsidP="00451FFD">
            <w:pPr>
              <w:spacing w:before="120" w:after="120" w:line="240" w:lineRule="auto"/>
              <w:ind w:left="144" w:right="144"/>
              <w:rPr>
                <w:rFonts w:eastAsia="Times New Roman" w:cs="Times New Roman"/>
              </w:rPr>
            </w:pPr>
            <w:r w:rsidRPr="00451FFD">
              <w:rPr>
                <w:rFonts w:eastAsia="Times New Roman" w:cs="Times New Roman"/>
                <w:b/>
                <w:bCs/>
              </w:rPr>
              <w:t>Answ</w:t>
            </w:r>
            <w:r w:rsidRPr="00451FFD">
              <w:rPr>
                <w:rFonts w:eastAsia="Times New Roman" w:cs="Times New Roman"/>
                <w:b/>
                <w:bCs/>
                <w:spacing w:val="1"/>
              </w:rPr>
              <w:t>e</w:t>
            </w:r>
            <w:r w:rsidRPr="00451FFD">
              <w:rPr>
                <w:rFonts w:eastAsia="Times New Roman" w:cs="Times New Roman"/>
                <w:b/>
                <w:bCs/>
              </w:rPr>
              <w:t>r</w:t>
            </w:r>
            <w:r w:rsidRPr="00451FFD">
              <w:rPr>
                <w:rFonts w:eastAsia="Times New Roman" w:cs="Times New Roman"/>
                <w:b/>
                <w:bCs/>
                <w:spacing w:val="-7"/>
              </w:rPr>
              <w:t xml:space="preserve"> </w:t>
            </w:r>
            <w:r w:rsidRPr="00451FFD">
              <w:rPr>
                <w:rFonts w:eastAsia="Times New Roman" w:cs="Times New Roman"/>
                <w:b/>
                <w:bCs/>
              </w:rPr>
              <w:t>(H</w:t>
            </w:r>
            <w:r w:rsidRPr="00451FFD">
              <w:rPr>
                <w:rFonts w:eastAsia="Times New Roman" w:cs="Times New Roman"/>
                <w:b/>
                <w:bCs/>
                <w:spacing w:val="2"/>
              </w:rPr>
              <w:t>o</w:t>
            </w:r>
            <w:r w:rsidRPr="00451FFD">
              <w:rPr>
                <w:rFonts w:eastAsia="Times New Roman" w:cs="Times New Roman"/>
                <w:b/>
                <w:bCs/>
              </w:rPr>
              <w:t>w</w:t>
            </w:r>
            <w:r w:rsidRPr="00451FFD">
              <w:rPr>
                <w:rFonts w:eastAsia="Times New Roman" w:cs="Times New Roman"/>
                <w:b/>
                <w:bCs/>
                <w:spacing w:val="-5"/>
              </w:rPr>
              <w:t xml:space="preserve"> </w:t>
            </w:r>
            <w:r w:rsidRPr="00451FFD">
              <w:rPr>
                <w:rFonts w:eastAsia="Times New Roman" w:cs="Times New Roman"/>
                <w:b/>
                <w:bCs/>
              </w:rPr>
              <w:t>many/Per</w:t>
            </w:r>
            <w:r w:rsidRPr="00451FFD">
              <w:rPr>
                <w:rFonts w:eastAsia="Times New Roman" w:cs="Times New Roman"/>
                <w:b/>
                <w:bCs/>
                <w:spacing w:val="1"/>
              </w:rPr>
              <w:t>c</w:t>
            </w:r>
            <w:r w:rsidRPr="00451FFD">
              <w:rPr>
                <w:rFonts w:eastAsia="Times New Roman" w:cs="Times New Roman"/>
                <w:b/>
                <w:bCs/>
              </w:rPr>
              <w:t>entage)</w:t>
            </w:r>
          </w:p>
        </w:tc>
      </w:tr>
      <w:tr w:rsidR="00451FFD" w:rsidRPr="00451FFD" w:rsidTr="00451FFD">
        <w:trPr>
          <w:trHeight w:val="4006"/>
        </w:trPr>
        <w:tc>
          <w:tcPr>
            <w:tcW w:w="43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51FFD" w:rsidRP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  <w:r>
              <w:rPr>
                <w:rFonts w:eastAsia="Times New Roman" w:cs="Times New Roman"/>
                <w:i/>
                <w:color w:val="262626" w:themeColor="text1" w:themeTint="D9"/>
              </w:rPr>
              <w:t xml:space="preserve"> How many students are well</w:t>
            </w:r>
            <w:r w:rsidR="00DA1430" w:rsidRPr="00CE1F68">
              <w:rPr>
                <w:rFonts w:eastAsia="Times New Roman" w:cs="Times New Roman"/>
                <w:i/>
                <w:color w:val="262626" w:themeColor="text1" w:themeTint="D9"/>
              </w:rPr>
              <w:t xml:space="preserve"> prepared</w:t>
            </w:r>
            <w:r>
              <w:rPr>
                <w:rFonts w:eastAsia="Times New Roman" w:cs="Times New Roman"/>
                <w:i/>
                <w:color w:val="262626" w:themeColor="text1" w:themeTint="D9"/>
              </w:rPr>
              <w:t xml:space="preserve"> (outstanding, strong) for grade-level material</w:t>
            </w:r>
            <w:r w:rsidR="00DA1430" w:rsidRPr="00CE1F68">
              <w:rPr>
                <w:rFonts w:eastAsia="Times New Roman" w:cs="Times New Roman"/>
                <w:i/>
                <w:color w:val="262626" w:themeColor="text1" w:themeTint="D9"/>
              </w:rPr>
              <w:t>?</w:t>
            </w: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Of these students</w:t>
            </w:r>
            <w:r w:rsidR="00CE1F68">
              <w:rPr>
                <w:rFonts w:eastAsia="Times New Roman" w:cs="Times New Roman"/>
                <w:i/>
                <w:color w:val="262626" w:themeColor="text1" w:themeTint="D9"/>
              </w:rPr>
              <w:t>,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 xml:space="preserve"> are any exceptional?</w:t>
            </w: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</w:tc>
        <w:tc>
          <w:tcPr>
            <w:tcW w:w="653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right="144"/>
            </w:pPr>
          </w:p>
          <w:p w:rsidR="00451FFD" w:rsidRPr="00451FFD" w:rsidRDefault="00451FFD" w:rsidP="00451FFD">
            <w:pPr>
              <w:spacing w:before="120" w:after="120" w:line="240" w:lineRule="auto"/>
              <w:ind w:left="144" w:right="144"/>
            </w:pPr>
          </w:p>
        </w:tc>
      </w:tr>
      <w:tr w:rsidR="00451FFD" w:rsidRPr="00451FFD" w:rsidTr="00451FFD">
        <w:trPr>
          <w:trHeight w:val="4006"/>
        </w:trPr>
        <w:tc>
          <w:tcPr>
            <w:tcW w:w="43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How many students are adequately prepared for the next grade or next unit?</w:t>
            </w: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CE1F68" w:rsidRDefault="00CE1F68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How many students need targeted support to ‘catch up’ and but can begin ‘on target’ as long as support is provided?</w:t>
            </w:r>
          </w:p>
          <w:p w:rsidR="00451FFD" w:rsidRPr="00CE1F68" w:rsidRDefault="00451FFD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</w:tc>
        <w:tc>
          <w:tcPr>
            <w:tcW w:w="6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Pr="00451FFD" w:rsidRDefault="00451FFD" w:rsidP="00451FFD">
            <w:pPr>
              <w:spacing w:before="120" w:after="120" w:line="240" w:lineRule="auto"/>
              <w:ind w:left="144" w:right="144"/>
            </w:pPr>
          </w:p>
        </w:tc>
      </w:tr>
      <w:tr w:rsidR="00451FFD" w:rsidRPr="00451FFD" w:rsidTr="00451FFD">
        <w:trPr>
          <w:trHeight w:val="4006"/>
        </w:trPr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i/>
                <w:color w:val="262626" w:themeColor="text1" w:themeTint="D9"/>
                <w:sz w:val="20"/>
                <w:szCs w:val="20"/>
              </w:rPr>
            </w:pPr>
            <w:r w:rsidRPr="00CE1F68">
              <w:rPr>
                <w:i/>
                <w:color w:val="262626" w:themeColor="text1" w:themeTint="D9"/>
                <w:sz w:val="20"/>
                <w:szCs w:val="20"/>
              </w:rPr>
              <w:t xml:space="preserve">How many students </w:t>
            </w:r>
            <w:r w:rsidR="00CE1F68">
              <w:rPr>
                <w:i/>
                <w:color w:val="262626" w:themeColor="text1" w:themeTint="D9"/>
                <w:sz w:val="20"/>
                <w:szCs w:val="20"/>
              </w:rPr>
              <w:t xml:space="preserve">have questionable preparation for the grade level and </w:t>
            </w:r>
            <w:r w:rsidRPr="00CE1F68">
              <w:rPr>
                <w:i/>
                <w:color w:val="262626" w:themeColor="text1" w:themeTint="D9"/>
                <w:sz w:val="20"/>
                <w:szCs w:val="20"/>
              </w:rPr>
              <w:t>need a comprehensive re-teaching that may equate to an earlier grade/unit?</w:t>
            </w:r>
          </w:p>
          <w:p w:rsidR="00451FFD" w:rsidRPr="00CE1F68" w:rsidRDefault="00451FFD" w:rsidP="00CE1F68">
            <w:pPr>
              <w:spacing w:before="120" w:after="120" w:line="240" w:lineRule="auto"/>
              <w:ind w:left="349" w:right="144"/>
              <w:rPr>
                <w:color w:val="262626" w:themeColor="text1" w:themeTint="D9"/>
                <w:sz w:val="20"/>
                <w:szCs w:val="20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DA1430" w:rsidRPr="00CE1F68" w:rsidRDefault="00DA1430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i/>
                <w:color w:val="262626" w:themeColor="text1" w:themeTint="D9"/>
              </w:rPr>
            </w:pPr>
          </w:p>
          <w:p w:rsidR="00451FFD" w:rsidRPr="00CE1F68" w:rsidRDefault="00451FFD" w:rsidP="00CE1F68">
            <w:pPr>
              <w:spacing w:before="120" w:after="120" w:line="240" w:lineRule="auto"/>
              <w:ind w:left="349" w:right="144"/>
              <w:rPr>
                <w:rFonts w:eastAsia="Times New Roman" w:cs="Times New Roman"/>
                <w:color w:val="262626" w:themeColor="text1" w:themeTint="D9"/>
              </w:rPr>
            </w:pP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Are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there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5"/>
              </w:rPr>
              <w:t xml:space="preserve"> 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any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with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signifi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>c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ant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9"/>
              </w:rPr>
              <w:t xml:space="preserve"> 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red flags?(exceptionally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  <w:spacing w:val="-18"/>
              </w:rPr>
              <w:t xml:space="preserve"> </w:t>
            </w:r>
            <w:r w:rsidRPr="00CE1F68">
              <w:rPr>
                <w:rFonts w:eastAsia="Times New Roman" w:cs="Times New Roman"/>
                <w:i/>
                <w:color w:val="262626" w:themeColor="text1" w:themeTint="D9"/>
              </w:rPr>
              <w:t>low)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Default="00451FFD" w:rsidP="00451FFD">
            <w:pPr>
              <w:spacing w:before="120" w:after="120" w:line="240" w:lineRule="auto"/>
              <w:ind w:left="144" w:right="144"/>
            </w:pPr>
          </w:p>
          <w:p w:rsidR="00451FFD" w:rsidRPr="00451FFD" w:rsidRDefault="00451FFD" w:rsidP="00451FFD">
            <w:pPr>
              <w:spacing w:before="120" w:after="120" w:line="240" w:lineRule="auto"/>
              <w:ind w:left="144" w:right="144"/>
            </w:pPr>
          </w:p>
        </w:tc>
      </w:tr>
    </w:tbl>
    <w:p w:rsidR="007555D9" w:rsidRDefault="007555D9" w:rsidP="00451FFD"/>
    <w:sectPr w:rsidR="007555D9">
      <w:footerReference w:type="default" r:id="rId7"/>
      <w:pgSz w:w="12240" w:h="15840"/>
      <w:pgMar w:top="640" w:right="80" w:bottom="480" w:left="500" w:header="0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D9" w:rsidRDefault="00451FFD">
      <w:pPr>
        <w:spacing w:after="0" w:line="240" w:lineRule="auto"/>
      </w:pPr>
      <w:r>
        <w:separator/>
      </w:r>
    </w:p>
  </w:endnote>
  <w:endnote w:type="continuationSeparator" w:id="0">
    <w:p w:rsidR="007555D9" w:rsidRDefault="00451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FFD" w:rsidRDefault="00451FFD" w:rsidP="00451FFD">
    <w:pPr>
      <w:spacing w:after="0" w:line="184" w:lineRule="exact"/>
      <w:ind w:left="20" w:right="-44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©</w:t>
    </w:r>
    <w:r>
      <w:rPr>
        <w:rFonts w:ascii="Arial" w:eastAsia="Arial" w:hAnsi="Arial" w:cs="Arial"/>
        <w:spacing w:val="-1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2014 Core Knowledge Foundation. This work is licensed under a Creative Commons</w:t>
    </w:r>
    <w:r>
      <w:rPr>
        <w:rFonts w:ascii="Arial" w:eastAsia="Arial" w:hAnsi="Arial" w:cs="Arial"/>
        <w:spacing w:val="44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Attribution-</w:t>
    </w:r>
    <w:proofErr w:type="spellStart"/>
    <w:r>
      <w:rPr>
        <w:rFonts w:ascii="Arial" w:eastAsia="Arial" w:hAnsi="Arial" w:cs="Arial"/>
        <w:sz w:val="16"/>
        <w:szCs w:val="16"/>
      </w:rPr>
      <w:t>NonCommercial</w:t>
    </w:r>
    <w:proofErr w:type="spellEnd"/>
    <w:r>
      <w:rPr>
        <w:rFonts w:ascii="Arial" w:eastAsia="Arial" w:hAnsi="Arial" w:cs="Arial"/>
        <w:sz w:val="16"/>
        <w:szCs w:val="16"/>
      </w:rPr>
      <w:t>-</w:t>
    </w:r>
    <w:proofErr w:type="spellStart"/>
    <w:r>
      <w:rPr>
        <w:rFonts w:ascii="Arial" w:eastAsia="Arial" w:hAnsi="Arial" w:cs="Arial"/>
        <w:sz w:val="16"/>
        <w:szCs w:val="16"/>
      </w:rPr>
      <w:t>ShareAlike</w:t>
    </w:r>
    <w:proofErr w:type="spellEnd"/>
    <w:r>
      <w:rPr>
        <w:rFonts w:ascii="Arial" w:eastAsia="Arial" w:hAnsi="Arial" w:cs="Arial"/>
        <w:sz w:val="16"/>
        <w:szCs w:val="16"/>
      </w:rPr>
      <w:t xml:space="preserve"> 3.0 </w:t>
    </w:r>
    <w:proofErr w:type="spellStart"/>
    <w:r>
      <w:rPr>
        <w:rFonts w:ascii="Arial" w:eastAsia="Arial" w:hAnsi="Arial" w:cs="Arial"/>
        <w:sz w:val="16"/>
        <w:szCs w:val="16"/>
      </w:rPr>
      <w:t>Unported</w:t>
    </w:r>
    <w:proofErr w:type="spellEnd"/>
    <w:r>
      <w:rPr>
        <w:rFonts w:ascii="Arial" w:eastAsia="Arial" w:hAnsi="Arial" w:cs="Arial"/>
        <w:sz w:val="16"/>
        <w:szCs w:val="16"/>
      </w:rPr>
      <w:t xml:space="preserve"> License.</w:t>
    </w:r>
  </w:p>
  <w:p w:rsidR="00451FFD" w:rsidRDefault="00607B8D" w:rsidP="00451FFD">
    <w:pPr>
      <w:spacing w:before="8" w:after="0" w:line="240" w:lineRule="auto"/>
      <w:ind w:left="20" w:right="-20"/>
      <w:rPr>
        <w:rFonts w:ascii="Arial" w:eastAsia="Arial" w:hAnsi="Arial" w:cs="Arial"/>
        <w:sz w:val="16"/>
        <w:szCs w:val="16"/>
      </w:rPr>
    </w:pPr>
    <w:hyperlink r:id="rId1">
      <w:r w:rsidR="00451FFD">
        <w:rPr>
          <w:rFonts w:ascii="Arial" w:eastAsia="Arial" w:hAnsi="Arial" w:cs="Arial"/>
          <w:sz w:val="16"/>
          <w:szCs w:val="16"/>
        </w:rPr>
        <w:t>www.creativecommons.org/licenses/by-nc-sa/3.0</w:t>
      </w:r>
    </w:hyperlink>
  </w:p>
  <w:p w:rsidR="00453668" w:rsidRDefault="00607B8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pt;margin-top:756.6pt;width:532.15pt;height:19.6pt;z-index:-251658752;mso-position-horizontal-relative:page;mso-position-vertical-relative:page" filled="f" stroked="f">
          <v:textbox inset="0,0,0,0">
            <w:txbxContent>
              <w:p w:rsidR="00453668" w:rsidRDefault="00453668">
                <w:pPr>
                  <w:spacing w:before="8" w:after="0" w:line="240" w:lineRule="auto"/>
                  <w:ind w:left="2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D9" w:rsidRDefault="00451FFD">
      <w:pPr>
        <w:spacing w:after="0" w:line="240" w:lineRule="auto"/>
      </w:pPr>
      <w:r>
        <w:separator/>
      </w:r>
    </w:p>
  </w:footnote>
  <w:footnote w:type="continuationSeparator" w:id="0">
    <w:p w:rsidR="007555D9" w:rsidRDefault="00451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53668"/>
    <w:rsid w:val="00451FFD"/>
    <w:rsid w:val="00453668"/>
    <w:rsid w:val="00607B8D"/>
    <w:rsid w:val="007555D9"/>
    <w:rsid w:val="00CE1F68"/>
    <w:rsid w:val="00D068FD"/>
    <w:rsid w:val="00DA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FD"/>
  </w:style>
  <w:style w:type="paragraph" w:styleId="Footer">
    <w:name w:val="footer"/>
    <w:basedOn w:val="Normal"/>
    <w:link w:val="FooterChar"/>
    <w:uiPriority w:val="99"/>
    <w:unhideWhenUsed/>
    <w:rsid w:val="00451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commons.org/licenses/by-nc-sa/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- 4_Evaluating and Determining Student Grouping</vt:lpstr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- 4_Evaluating and Determining Student Grouping</dc:title>
  <dc:creator>amcginty</dc:creator>
  <cp:lastModifiedBy>Diane Tureski</cp:lastModifiedBy>
  <cp:revision>2</cp:revision>
  <dcterms:created xsi:type="dcterms:W3CDTF">2014-07-23T22:34:00Z</dcterms:created>
  <dcterms:modified xsi:type="dcterms:W3CDTF">2014-07-23T22:34:00Z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2013-06-27T00:00:00Z</vt:filetime>
  </property>
  <property fmtid="{D5CDD505-2E9C-101B-9397-08002B2CF9AE}" pid="3" name="LastSaved">
    <vt:filetime>2014-07-22T00:00:00Z</vt:filetime>
  </property>
</Properties>
</file>