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before="0" w:line="240" w:lineRule="auto"/>
        <w:rPr>
          <w:sz w:val="50"/>
          <w:szCs w:val="50"/>
        </w:rPr>
      </w:pPr>
      <w:bookmarkStart w:colFirst="0" w:colLast="0" w:name="_nrnw03t7conb" w:id="0"/>
      <w:bookmarkEnd w:id="0"/>
      <w:r w:rsidDel="00000000" w:rsidR="00000000" w:rsidRPr="00000000">
        <w:rPr>
          <w:sz w:val="50"/>
          <w:szCs w:val="50"/>
          <w:rtl w:val="0"/>
        </w:rPr>
        <w:t xml:space="preserve">Rate of Molecular Diffusion</w:t>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spacing w:before="0" w:line="240" w:lineRule="auto"/>
        <w:rPr>
          <w:b w:val="0"/>
          <w:sz w:val="56"/>
          <w:szCs w:val="56"/>
        </w:rPr>
      </w:pPr>
      <w:bookmarkStart w:colFirst="0" w:colLast="0" w:name="_inz9srn31ho4" w:id="1"/>
      <w:bookmarkEnd w:id="1"/>
      <w:r w:rsidDel="00000000" w:rsidR="00000000" w:rsidRPr="00000000">
        <w:rPr>
          <w:b w:val="0"/>
          <w:sz w:val="56"/>
          <w:szCs w:val="56"/>
          <w:rtl w:val="0"/>
        </w:rPr>
        <w:t xml:space="preserve">FALL SEMESTER 2022</w:t>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rPr>
          <w:color w:val="666666"/>
          <w:sz w:val="24"/>
          <w:szCs w:val="24"/>
        </w:rPr>
      </w:pPr>
      <w:bookmarkStart w:colFirst="0" w:colLast="0" w:name="_s44548ln3mw" w:id="2"/>
      <w:bookmarkEnd w:id="2"/>
      <w:r w:rsidDel="00000000" w:rsidR="00000000" w:rsidRPr="00000000">
        <w:rPr>
          <w:sz w:val="24"/>
          <w:szCs w:val="24"/>
          <w:rtl w:val="0"/>
        </w:rPr>
        <w:t xml:space="preserve">INSTRUCTOR: Mr. Simmons</w:t>
      </w:r>
      <w:r w:rsidDel="00000000" w:rsidR="00000000" w:rsidRPr="00000000">
        <w:rPr>
          <w:rtl w:val="0"/>
        </w:rPr>
      </w:r>
    </w:p>
    <w:p w:rsidR="00000000" w:rsidDel="00000000" w:rsidP="00000000" w:rsidRDefault="00000000" w:rsidRPr="00000000" w14:paraId="00000004">
      <w:pPr>
        <w:pStyle w:val="Subtitle"/>
        <w:pageBreakBefore w:val="0"/>
        <w:pBdr>
          <w:top w:space="0" w:sz="0" w:val="nil"/>
          <w:left w:space="0" w:sz="0" w:val="nil"/>
          <w:bottom w:space="0" w:sz="0" w:val="nil"/>
          <w:right w:space="0" w:sz="0" w:val="nil"/>
          <w:between w:space="0" w:sz="0" w:val="nil"/>
        </w:pBdr>
        <w:shd w:fill="auto" w:val="clear"/>
        <w:spacing w:before="0" w:lineRule="auto"/>
        <w:rPr>
          <w:color w:val="8c7252"/>
          <w:sz w:val="24"/>
          <w:szCs w:val="24"/>
        </w:rPr>
      </w:pPr>
      <w:bookmarkStart w:colFirst="0" w:colLast="0" w:name="_tb0pswljnfq9" w:id="3"/>
      <w:bookmarkEnd w:id="3"/>
      <w:hyperlink r:id="rId6">
        <w:r w:rsidDel="00000000" w:rsidR="00000000" w:rsidRPr="00000000">
          <w:rPr>
            <w:color w:val="1155cc"/>
            <w:sz w:val="24"/>
            <w:szCs w:val="24"/>
            <w:u w:val="single"/>
            <w:rtl w:val="0"/>
          </w:rPr>
          <w:t xml:space="preserve">matthewsimmons@hebisd.edu</w:t>
        </w:r>
      </w:hyperlink>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120" w:before="240" w:line="276" w:lineRule="auto"/>
        <w:rPr>
          <w:rFonts w:ascii="Playfair Display" w:cs="Playfair Display" w:eastAsia="Playfair Display" w:hAnsi="Playfair Display"/>
          <w:b w:val="1"/>
          <w:sz w:val="24"/>
          <w:szCs w:val="24"/>
        </w:rPr>
      </w:pPr>
      <w:r w:rsidDel="00000000" w:rsidR="00000000" w:rsidRPr="00000000">
        <w:rPr>
          <w:rFonts w:ascii="Playfair Display" w:cs="Playfair Display" w:eastAsia="Playfair Display" w:hAnsi="Playfair Display"/>
          <w:b w:val="1"/>
          <w:sz w:val="24"/>
          <w:szCs w:val="24"/>
          <w:rtl w:val="0"/>
        </w:rPr>
        <w:t xml:space="preserve">Name: _________________________________                    Date:_____________</w:t>
      </w:r>
    </w:p>
    <w:p w:rsidR="00000000" w:rsidDel="00000000" w:rsidP="00000000" w:rsidRDefault="00000000" w:rsidRPr="00000000" w14:paraId="00000007">
      <w:pPr>
        <w:pStyle w:val="Subtitle"/>
        <w:spacing w:after="240" w:before="240" w:line="276" w:lineRule="auto"/>
        <w:rPr>
          <w:b w:val="1"/>
        </w:rPr>
      </w:pPr>
      <w:bookmarkStart w:colFirst="0" w:colLast="0" w:name="_2ihref4jay3j" w:id="4"/>
      <w:bookmarkEnd w:id="4"/>
      <w:r w:rsidDel="00000000" w:rsidR="00000000" w:rsidRPr="00000000">
        <w:rPr>
          <w:b w:val="1"/>
          <w:rtl w:val="0"/>
        </w:rPr>
        <w:t xml:space="preserve">Background Information</w:t>
      </w:r>
    </w:p>
    <w:p w:rsidR="00000000" w:rsidDel="00000000" w:rsidP="00000000" w:rsidRDefault="00000000" w:rsidRPr="00000000" w14:paraId="00000008">
      <w:pPr>
        <w:spacing w:after="120" w:before="240" w:line="276" w:lineRule="auto"/>
        <w:jc w:val="both"/>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Diffusion, which is the subject of this activity, is the movement of molecules or particles from an area of greater concentration to an area of lesser concentration.  Diffusion is responsible, in part, for the passage of particles (ions and molecules) into and out of a cell through the cell membrane.</w:t>
      </w:r>
    </w:p>
    <w:p w:rsidR="00000000" w:rsidDel="00000000" w:rsidP="00000000" w:rsidRDefault="00000000" w:rsidRPr="00000000" w14:paraId="00000009">
      <w:pPr>
        <w:spacing w:after="120" w:before="240" w:line="276" w:lineRule="auto"/>
        <w:jc w:val="both"/>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Living cells have a constant need for energy, which is supplied by food molecules that enter the cells from the environment.  Cells must also be able to rid themselves of poisonous wastes.  If either process stops, the cells die along with the organism of which the cells are a part.  Diffusion and active transport are the two main processes that account for the movement of materials into, throughout, and out of cells.</w:t>
      </w:r>
    </w:p>
    <w:p w:rsidR="00000000" w:rsidDel="00000000" w:rsidP="00000000" w:rsidRDefault="00000000" w:rsidRPr="00000000" w14:paraId="0000000A">
      <w:pPr>
        <w:spacing w:after="120" w:before="240" w:line="276" w:lineRule="auto"/>
        <w:jc w:val="both"/>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In terms of an experience you may already be familiar with, diffusion takes place when a bottle of perfume is left open.  After a while, a person at some distance from the bottle can smell the perfume.  The molecules of the perfume travel from the bottle to the person's nose by diffusion.  This is an example of gas molecules (the evaporated perfume) diffusing into the space occupied by other gas molecules (the air).</w:t>
      </w:r>
    </w:p>
    <w:p w:rsidR="00000000" w:rsidDel="00000000" w:rsidP="00000000" w:rsidRDefault="00000000" w:rsidRPr="00000000" w14:paraId="0000000B">
      <w:pPr>
        <w:spacing w:after="120" w:before="240" w:line="276" w:lineRule="auto"/>
        <w:jc w:val="both"/>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In this experiment you will investigate the rate of diffusion of a liquid in a liquid.  You will also investigate how temperature affects the rate of diffusion.</w:t>
      </w:r>
    </w:p>
    <w:p w:rsidR="00000000" w:rsidDel="00000000" w:rsidP="00000000" w:rsidRDefault="00000000" w:rsidRPr="00000000" w14:paraId="0000000C">
      <w:pPr>
        <w:pStyle w:val="Subtitle"/>
        <w:rPr>
          <w:b w:val="1"/>
        </w:rPr>
      </w:pPr>
      <w:bookmarkStart w:colFirst="0" w:colLast="0" w:name="_i2p2axfxcrxg" w:id="5"/>
      <w:bookmarkEnd w:id="5"/>
      <w:r w:rsidDel="00000000" w:rsidR="00000000" w:rsidRPr="00000000">
        <w:rPr>
          <w:b w:val="1"/>
          <w:rtl w:val="0"/>
        </w:rPr>
        <w:t xml:space="preserve">Purpose</w:t>
      </w:r>
    </w:p>
    <w:p w:rsidR="00000000" w:rsidDel="00000000" w:rsidP="00000000" w:rsidRDefault="00000000" w:rsidRPr="00000000" w14:paraId="0000000D">
      <w:pPr>
        <w:spacing w:after="240" w:before="240" w:line="276"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To measure the rate of diffusion in a liquid and determine how temperature affects the rate of diffusion.</w:t>
      </w:r>
    </w:p>
    <w:p w:rsidR="00000000" w:rsidDel="00000000" w:rsidP="00000000" w:rsidRDefault="00000000" w:rsidRPr="00000000" w14:paraId="0000000E">
      <w:pPr>
        <w:pStyle w:val="Subtitle"/>
        <w:rPr>
          <w:b w:val="1"/>
        </w:rPr>
      </w:pPr>
      <w:bookmarkStart w:colFirst="0" w:colLast="0" w:name="_pfw0jrtnqbnd" w:id="6"/>
      <w:bookmarkEnd w:id="6"/>
      <w:r w:rsidDel="00000000" w:rsidR="00000000" w:rsidRPr="00000000">
        <w:rPr>
          <w:b w:val="1"/>
          <w:rtl w:val="0"/>
        </w:rPr>
        <w:t xml:space="preserve">Procedure</w:t>
      </w:r>
    </w:p>
    <w:p w:rsidR="00000000" w:rsidDel="00000000" w:rsidP="00000000" w:rsidRDefault="00000000" w:rsidRPr="00000000" w14:paraId="0000000F">
      <w:pPr>
        <w:spacing w:after="240" w:before="240" w:line="276"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Remember to formulate a hypothesis, or expected explanation, of how temperature affects diffusion before you do the actual experiment.</w:t>
      </w:r>
    </w:p>
    <w:p w:rsidR="00000000" w:rsidDel="00000000" w:rsidP="00000000" w:rsidRDefault="00000000" w:rsidRPr="00000000" w14:paraId="00000010">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With the diagram of concentric circles lying flat on the table, rest a clean petri dish on it so that the petri dish is aligned with the circles.</w:t>
      </w:r>
    </w:p>
    <w:p w:rsidR="00000000" w:rsidDel="00000000" w:rsidP="00000000" w:rsidRDefault="00000000" w:rsidRPr="00000000" w14:paraId="00000011">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Fill a 250 mL beaker half-way with ice water, room temperature water, or hot water.</w:t>
      </w:r>
    </w:p>
    <w:p w:rsidR="00000000" w:rsidDel="00000000" w:rsidP="00000000" w:rsidRDefault="00000000" w:rsidRPr="00000000" w14:paraId="00000012">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Take a temperature reading and record on the chart to nearest degree Celsius (back of this paper).</w:t>
      </w:r>
    </w:p>
    <w:p w:rsidR="00000000" w:rsidDel="00000000" w:rsidP="00000000" w:rsidRDefault="00000000" w:rsidRPr="00000000" w14:paraId="00000013">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Measure approximately 50mL of water from beaker in a graduated cylinder.</w:t>
      </w:r>
    </w:p>
    <w:p w:rsidR="00000000" w:rsidDel="00000000" w:rsidP="00000000" w:rsidRDefault="00000000" w:rsidRPr="00000000" w14:paraId="00000014">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Pour the water into the petri dish.</w:t>
      </w:r>
    </w:p>
    <w:p w:rsidR="00000000" w:rsidDel="00000000" w:rsidP="00000000" w:rsidRDefault="00000000" w:rsidRPr="00000000" w14:paraId="00000015">
      <w:pPr>
        <w:numPr>
          <w:ilvl w:val="0"/>
          <w:numId w:val="1"/>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One lab partner should begin recording the time (to the nearest second) at the instant the other partner places ONE DROP or  PIECE of the diffusing material into the center of the petri dish.</w:t>
      </w:r>
    </w:p>
    <w:p w:rsidR="00000000" w:rsidDel="00000000" w:rsidP="00000000" w:rsidRDefault="00000000" w:rsidRPr="00000000" w14:paraId="00000016">
      <w:pPr>
        <w:numPr>
          <w:ilvl w:val="0"/>
          <w:numId w:val="1"/>
        </w:numPr>
        <w:spacing w:after="0" w:afterAutospacing="0" w:before="0" w:beforeAutospacing="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At 15-second intervals, record the LARGEST distance the material has diffused out from the center on the dish.  Remember, this is a running time – once you start the timer, do not stop it until you reach five minutes or the material diffuses to the edge of the petri dish.</w:t>
      </w:r>
    </w:p>
    <w:p w:rsidR="00000000" w:rsidDel="00000000" w:rsidP="00000000" w:rsidRDefault="00000000" w:rsidRPr="00000000" w14:paraId="00000017">
      <w:pPr>
        <w:numPr>
          <w:ilvl w:val="1"/>
          <w:numId w:val="1"/>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Remember, the distance between each concentric circle is 5mm.</w:t>
      </w:r>
    </w:p>
    <w:p w:rsidR="00000000" w:rsidDel="00000000" w:rsidP="00000000" w:rsidRDefault="00000000" w:rsidRPr="00000000" w14:paraId="00000018">
      <w:pPr>
        <w:numPr>
          <w:ilvl w:val="1"/>
          <w:numId w:val="1"/>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The starting point of the diffusing material is recorded as </w:t>
      </w:r>
      <w:r w:rsidDel="00000000" w:rsidR="00000000" w:rsidRPr="00000000">
        <w:rPr>
          <w:rFonts w:ascii="Playfair Display" w:cs="Playfair Display" w:eastAsia="Playfair Display" w:hAnsi="Playfair Display"/>
          <w:i w:val="1"/>
          <w:rtl w:val="0"/>
        </w:rPr>
        <w:t xml:space="preserve">Time Zero</w:t>
      </w:r>
      <w:r w:rsidDel="00000000" w:rsidR="00000000" w:rsidRPr="00000000">
        <w:rPr>
          <w:rFonts w:ascii="Playfair Display" w:cs="Playfair Display" w:eastAsia="Playfair Display" w:hAnsi="Playfair Display"/>
          <w:rtl w:val="0"/>
        </w:rPr>
        <w:t xml:space="preserve">.</w:t>
      </w:r>
    </w:p>
    <w:p w:rsidR="00000000" w:rsidDel="00000000" w:rsidP="00000000" w:rsidRDefault="00000000" w:rsidRPr="00000000" w14:paraId="00000019">
      <w:pPr>
        <w:numPr>
          <w:ilvl w:val="0"/>
          <w:numId w:val="1"/>
        </w:numPr>
        <w:spacing w:after="240" w:before="0" w:beforeAutospacing="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Repeat the above procedure with the remaining two water temperatures. </w:t>
      </w:r>
    </w:p>
    <w:tbl>
      <w:tblPr>
        <w:tblStyle w:val="Table1"/>
        <w:tblW w:w="86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1380"/>
        <w:gridCol w:w="255"/>
        <w:gridCol w:w="1095"/>
        <w:gridCol w:w="1530"/>
        <w:gridCol w:w="255"/>
        <w:gridCol w:w="1260"/>
        <w:gridCol w:w="1725"/>
        <w:tblGridChange w:id="0">
          <w:tblGrid>
            <w:gridCol w:w="1140"/>
            <w:gridCol w:w="1380"/>
            <w:gridCol w:w="255"/>
            <w:gridCol w:w="1095"/>
            <w:gridCol w:w="1530"/>
            <w:gridCol w:w="255"/>
            <w:gridCol w:w="1260"/>
            <w:gridCol w:w="1725"/>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Ice Water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vertAlign w:val="superscript"/>
                <w:rtl w:val="0"/>
              </w:rPr>
              <w:t xml:space="preserve">o</w:t>
            </w:r>
            <w:r w:rsidDel="00000000" w:rsidR="00000000" w:rsidRPr="00000000">
              <w:rPr>
                <w:rFonts w:ascii="Playfair Display" w:cs="Playfair Display" w:eastAsia="Playfair Display" w:hAnsi="Playfair Display"/>
                <w:rtl w:val="0"/>
              </w:rPr>
              <w:t xml:space="preserve">C</w:t>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01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Warm Water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vertAlign w:val="superscript"/>
                <w:rtl w:val="0"/>
              </w:rPr>
              <w:t xml:space="preserve">o</w:t>
            </w:r>
            <w:r w:rsidDel="00000000" w:rsidR="00000000" w:rsidRPr="00000000">
              <w:rPr>
                <w:rFonts w:ascii="Playfair Display" w:cs="Playfair Display" w:eastAsia="Playfair Display" w:hAnsi="Playfair Display"/>
                <w:rtl w:val="0"/>
              </w:rPr>
              <w:t xml:space="preserve">C</w:t>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Hot Water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vertAlign w:val="superscript"/>
                <w:rtl w:val="0"/>
              </w:rPr>
              <w:t xml:space="preserve">o</w:t>
            </w:r>
            <w:r w:rsidDel="00000000" w:rsidR="00000000" w:rsidRPr="00000000">
              <w:rPr>
                <w:rFonts w:ascii="Playfair Display" w:cs="Playfair Display" w:eastAsia="Playfair Display" w:hAnsi="Playfair Display"/>
                <w:rtl w:val="0"/>
              </w:rPr>
              <w:t xml:space="preserve">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Distance</w:t>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Distance</w:t>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Distance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0:45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1:45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2:45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4:45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tcBorders>
              <w:top w:color="ffffff" w:space="0" w:sz="8" w:val="single"/>
              <w:bottom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before="0" w:line="24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Playfair Display" w:cs="Playfair Display" w:eastAsia="Playfair Display" w:hAnsi="Playfair Display"/>
              </w:rPr>
            </w:pPr>
            <w:r w:rsidDel="00000000" w:rsidR="00000000" w:rsidRPr="00000000">
              <w:rPr>
                <w:rtl w:val="0"/>
              </w:rPr>
            </w:r>
          </w:p>
        </w:tc>
      </w:tr>
    </w:tbl>
    <w:p w:rsidR="00000000" w:rsidDel="00000000" w:rsidP="00000000" w:rsidRDefault="00000000" w:rsidRPr="00000000" w14:paraId="000000D2">
      <w:pPr>
        <w:spacing w:after="240" w:before="240" w:line="276" w:lineRule="auto"/>
        <w:ind w:left="660" w:firstLine="0"/>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D3">
      <w:pPr>
        <w:pStyle w:val="Subtitle"/>
        <w:spacing w:after="240" w:before="240" w:line="276" w:lineRule="auto"/>
        <w:jc w:val="both"/>
        <w:rPr>
          <w:b w:val="1"/>
        </w:rPr>
      </w:pPr>
      <w:bookmarkStart w:colFirst="0" w:colLast="0" w:name="_y9yvmjlowdxh" w:id="7"/>
      <w:bookmarkEnd w:id="7"/>
      <w:r w:rsidDel="00000000" w:rsidR="00000000" w:rsidRPr="00000000">
        <w:rPr>
          <w:b w:val="1"/>
          <w:rtl w:val="0"/>
        </w:rPr>
        <w:t xml:space="preserve"> Your lab report should include 5 parts:</w:t>
      </w:r>
    </w:p>
    <w:p w:rsidR="00000000" w:rsidDel="00000000" w:rsidP="00000000" w:rsidRDefault="00000000" w:rsidRPr="00000000" w14:paraId="000000D4">
      <w:pPr>
        <w:numPr>
          <w:ilvl w:val="0"/>
          <w:numId w:val="2"/>
        </w:numPr>
        <w:spacing w:after="0" w:afterAutospacing="0" w:before="24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An introductory section containing background information about molecular movement and diffusion.</w:t>
      </w:r>
    </w:p>
    <w:p w:rsidR="00000000" w:rsidDel="00000000" w:rsidP="00000000" w:rsidRDefault="00000000" w:rsidRPr="00000000" w14:paraId="000000D5">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define diffusion</w:t>
      </w:r>
    </w:p>
    <w:p w:rsidR="00000000" w:rsidDel="00000000" w:rsidP="00000000" w:rsidRDefault="00000000" w:rsidRPr="00000000" w14:paraId="000000D6">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rtl w:val="0"/>
        </w:rPr>
        <w:t xml:space="preserve">explain how molecular movement affects diffusion</w:t>
      </w:r>
    </w:p>
    <w:p w:rsidR="00000000" w:rsidDel="00000000" w:rsidP="00000000" w:rsidRDefault="00000000" w:rsidRPr="00000000" w14:paraId="000000D7">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rtl w:val="0"/>
        </w:rPr>
        <w:t xml:space="preserve">hypothesis</w:t>
      </w:r>
    </w:p>
    <w:p w:rsidR="00000000" w:rsidDel="00000000" w:rsidP="00000000" w:rsidRDefault="00000000" w:rsidRPr="00000000" w14:paraId="000000D8">
      <w:pPr>
        <w:numPr>
          <w:ilvl w:val="0"/>
          <w:numId w:val="2"/>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Tables containing raw data collected.</w:t>
      </w:r>
    </w:p>
    <w:p w:rsidR="00000000" w:rsidDel="00000000" w:rsidP="00000000" w:rsidRDefault="00000000" w:rsidRPr="00000000" w14:paraId="000000D9">
      <w:pPr>
        <w:numPr>
          <w:ilvl w:val="0"/>
          <w:numId w:val="2"/>
        </w:numPr>
        <w:spacing w:after="0" w:afterAutospacing="0" w:before="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COMPLETE &amp; ACCURATE graph of data</w:t>
      </w:r>
    </w:p>
    <w:p w:rsidR="00000000" w:rsidDel="00000000" w:rsidP="00000000" w:rsidRDefault="00000000" w:rsidRPr="00000000" w14:paraId="000000DA">
      <w:pPr>
        <w:numPr>
          <w:ilvl w:val="0"/>
          <w:numId w:val="2"/>
        </w:numPr>
        <w:spacing w:after="0" w:afterAutospacing="0" w:before="0" w:beforeAutospacing="0" w:line="276" w:lineRule="auto"/>
        <w:ind w:left="72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Conclusion</w:t>
      </w:r>
    </w:p>
    <w:p w:rsidR="00000000" w:rsidDel="00000000" w:rsidP="00000000" w:rsidRDefault="00000000" w:rsidRPr="00000000" w14:paraId="000000DB">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Was your hypothesis supported or disproven?  How did temperature affect the diffusion rate?</w:t>
      </w:r>
    </w:p>
    <w:p w:rsidR="00000000" w:rsidDel="00000000" w:rsidP="00000000" w:rsidRDefault="00000000" w:rsidRPr="00000000" w14:paraId="000000DC">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rtl w:val="0"/>
        </w:rPr>
        <w:t xml:space="preserve">What do you believe were the three largest sources of error in your investigation?</w:t>
      </w:r>
    </w:p>
    <w:p w:rsidR="00000000" w:rsidDel="00000000" w:rsidP="00000000" w:rsidRDefault="00000000" w:rsidRPr="00000000" w14:paraId="000000DD">
      <w:pPr>
        <w:numPr>
          <w:ilvl w:val="1"/>
          <w:numId w:val="2"/>
        </w:numPr>
        <w:spacing w:after="0" w:afterAutospacing="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What are two ways to improve this lab?</w:t>
      </w:r>
    </w:p>
    <w:p w:rsidR="00000000" w:rsidDel="00000000" w:rsidP="00000000" w:rsidRDefault="00000000" w:rsidRPr="00000000" w14:paraId="000000DE">
      <w:pPr>
        <w:numPr>
          <w:ilvl w:val="1"/>
          <w:numId w:val="2"/>
        </w:numPr>
        <w:spacing w:after="240" w:before="0" w:beforeAutospacing="0" w:line="276" w:lineRule="auto"/>
        <w:ind w:left="1440" w:hanging="360"/>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Remember to </w:t>
      </w:r>
      <w:r w:rsidDel="00000000" w:rsidR="00000000" w:rsidRPr="00000000">
        <w:rPr>
          <w:rFonts w:ascii="Playfair Display" w:cs="Playfair Display" w:eastAsia="Playfair Display" w:hAnsi="Playfair Display"/>
          <w:b w:val="1"/>
          <w:rtl w:val="0"/>
        </w:rPr>
        <w:t xml:space="preserve">HyDE</w:t>
      </w:r>
    </w:p>
    <w:tbl>
      <w:tblPr>
        <w:tblStyle w:val="Table2"/>
        <w:tblW w:w="90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80"/>
        <w:tblGridChange w:id="0">
          <w:tblGrid>
            <w:gridCol w:w="9080"/>
          </w:tblGrid>
        </w:tblGridChange>
      </w:tblGrid>
      <w:tr>
        <w:trPr>
          <w:cantSplit w:val="0"/>
          <w:trHeight w:val="1160" w:hRule="atLeast"/>
          <w:tblHeader w:val="0"/>
        </w:trPr>
        <w:tc>
          <w:tcPr>
            <w:tcBorders>
              <w:top w:color="000000" w:space="0" w:sz="0" w:val="nil"/>
              <w:left w:color="000000" w:space="0" w:sz="0" w:val="nil"/>
              <w:bottom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DF">
            <w:pPr>
              <w:spacing w:after="240" w:before="240" w:line="276" w:lineRule="auto"/>
              <w:jc w:val="center"/>
              <w:rPr>
                <w:rFonts w:ascii="Playfair Display" w:cs="Playfair Display" w:eastAsia="Playfair Display" w:hAnsi="Playfair Display"/>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47626</wp:posOffset>
                  </wp:positionV>
                  <wp:extent cx="5629275" cy="5359400"/>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629275" cy="5359400"/>
                          </a:xfrm>
                          <a:prstGeom prst="rect"/>
                          <a:ln/>
                        </pic:spPr>
                      </pic:pic>
                    </a:graphicData>
                  </a:graphic>
                </wp:anchor>
              </w:drawing>
            </w:r>
          </w:p>
          <w:tbl>
            <w:tblPr>
              <w:tblStyle w:val="Table3"/>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80"/>
              <w:tblGridChange w:id="0">
                <w:tblGrid>
                  <w:gridCol w:w="8880"/>
                </w:tblGrid>
              </w:tblGridChange>
            </w:tblGrid>
            <w:tr>
              <w:trPr>
                <w:cantSplit w:val="0"/>
                <w:trHeight w:val="25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0">
                  <w:pPr>
                    <w:spacing w:after="240" w:before="240" w:line="276" w:lineRule="auto"/>
                    <w:jc w:val="center"/>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EXTRA CREDIT</w:t>
                  </w:r>
                </w:p>
                <w:p w:rsidR="00000000" w:rsidDel="00000000" w:rsidP="00000000" w:rsidRDefault="00000000" w:rsidRPr="00000000" w14:paraId="000000E1">
                  <w:pPr>
                    <w:spacing w:after="240" w:before="240" w:line="276" w:lineRule="auto"/>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Explain WHY temperature affects the rate of molecular diffusion.  </w:t>
                  </w:r>
                  <w:r w:rsidDel="00000000" w:rsidR="00000000" w:rsidRPr="00000000">
                    <w:rPr>
                      <w:rFonts w:ascii="Playfair Display" w:cs="Playfair Display" w:eastAsia="Playfair Display" w:hAnsi="Playfair Display"/>
                      <w:b w:val="1"/>
                      <w:i w:val="1"/>
                      <w:rtl w:val="0"/>
                    </w:rPr>
                    <w:t xml:space="preserve">HINT</w:t>
                  </w:r>
                  <w:r w:rsidDel="00000000" w:rsidR="00000000" w:rsidRPr="00000000">
                    <w:rPr>
                      <w:rFonts w:ascii="Playfair Display" w:cs="Playfair Display" w:eastAsia="Playfair Display" w:hAnsi="Playfair Display"/>
                      <w:rtl w:val="0"/>
                    </w:rPr>
                    <w:t xml:space="preserve">: What is the definition of temperature?</w:t>
                  </w:r>
                </w:p>
                <w:p w:rsidR="00000000" w:rsidDel="00000000" w:rsidP="00000000" w:rsidRDefault="00000000" w:rsidRPr="00000000" w14:paraId="000000E2">
                  <w:pPr>
                    <w:spacing w:after="240" w:before="240" w:line="276"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bl>
          <w:p w:rsidR="00000000" w:rsidDel="00000000" w:rsidP="00000000" w:rsidRDefault="00000000" w:rsidRPr="00000000" w14:paraId="000000E3">
            <w:pPr>
              <w:spacing w:after="240" w:before="240" w:line="276"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bl>
    <w:p w:rsidR="00000000" w:rsidDel="00000000" w:rsidP="00000000" w:rsidRDefault="00000000" w:rsidRPr="00000000" w14:paraId="000000E4">
      <w:pPr>
        <w:spacing w:after="240" w:before="240" w:line="276" w:lineRule="auto"/>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5">
      <w:pPr>
        <w:spacing w:after="240" w:before="240" w:line="276" w:lineRule="auto"/>
        <w:rPr>
          <w:rFonts w:ascii="Browallia New" w:cs="Browallia New" w:eastAsia="Browallia New" w:hAnsi="Browallia New"/>
        </w:rPr>
      </w:pPr>
      <w:r w:rsidDel="00000000" w:rsidR="00000000" w:rsidRPr="00000000">
        <w:rPr>
          <w:rFonts w:ascii="Browallia New" w:cs="Browallia New" w:eastAsia="Browallia New" w:hAnsi="Browallia New"/>
          <w:b w:val="1"/>
          <w:rtl w:val="0"/>
        </w:rPr>
        <w:t xml:space="preserve">Remember</w:t>
      </w:r>
      <w:r w:rsidDel="00000000" w:rsidR="00000000" w:rsidRPr="00000000">
        <w:rPr>
          <w:rFonts w:ascii="Browallia New" w:cs="Browallia New" w:eastAsia="Browallia New" w:hAnsi="Browallia New"/>
          <w:rtl w:val="0"/>
        </w:rPr>
        <w:t xml:space="preserve">: A Graph </w:t>
      </w:r>
      <w:r w:rsidDel="00000000" w:rsidR="00000000" w:rsidRPr="00000000">
        <w:rPr>
          <w:rFonts w:ascii="Browallia New" w:cs="Browallia New" w:eastAsia="Browallia New" w:hAnsi="Browallia New"/>
          <w:b w:val="1"/>
          <w:rtl w:val="0"/>
        </w:rPr>
        <w:t xml:space="preserve">T.A.L.K.S.</w:t>
      </w:r>
      <w:r w:rsidDel="00000000" w:rsidR="00000000" w:rsidRPr="00000000">
        <w:rPr>
          <w:rFonts w:ascii="Browallia New" w:cs="Browallia New" w:eastAsia="Browallia New" w:hAnsi="Browallia New"/>
          <w:rtl w:val="0"/>
        </w:rPr>
        <w:t xml:space="preserve"> to You – </w:t>
      </w:r>
      <w:r w:rsidDel="00000000" w:rsidR="00000000" w:rsidRPr="00000000">
        <w:rPr>
          <w:rFonts w:ascii="Browallia New" w:cs="Browallia New" w:eastAsia="Browallia New" w:hAnsi="Browallia New"/>
          <w:b w:val="1"/>
          <w:rtl w:val="0"/>
        </w:rPr>
        <w:t xml:space="preserve">T</w:t>
      </w:r>
      <w:r w:rsidDel="00000000" w:rsidR="00000000" w:rsidRPr="00000000">
        <w:rPr>
          <w:rFonts w:ascii="Browallia New" w:cs="Browallia New" w:eastAsia="Browallia New" w:hAnsi="Browallia New"/>
          <w:rtl w:val="0"/>
        </w:rPr>
        <w:t xml:space="preserve">itle / </w:t>
      </w:r>
      <w:r w:rsidDel="00000000" w:rsidR="00000000" w:rsidRPr="00000000">
        <w:rPr>
          <w:rFonts w:ascii="Browallia New" w:cs="Browallia New" w:eastAsia="Browallia New" w:hAnsi="Browallia New"/>
          <w:b w:val="1"/>
          <w:rtl w:val="0"/>
        </w:rPr>
        <w:t xml:space="preserve">L</w:t>
      </w:r>
      <w:r w:rsidDel="00000000" w:rsidR="00000000" w:rsidRPr="00000000">
        <w:rPr>
          <w:rFonts w:ascii="Browallia New" w:cs="Browallia New" w:eastAsia="Browallia New" w:hAnsi="Browallia New"/>
          <w:rtl w:val="0"/>
        </w:rPr>
        <w:t xml:space="preserve">abel / </w:t>
      </w:r>
      <w:r w:rsidDel="00000000" w:rsidR="00000000" w:rsidRPr="00000000">
        <w:rPr>
          <w:rFonts w:ascii="Browallia New" w:cs="Browallia New" w:eastAsia="Browallia New" w:hAnsi="Browallia New"/>
          <w:b w:val="1"/>
          <w:rtl w:val="0"/>
        </w:rPr>
        <w:t xml:space="preserve">A</w:t>
      </w:r>
      <w:r w:rsidDel="00000000" w:rsidR="00000000" w:rsidRPr="00000000">
        <w:rPr>
          <w:rFonts w:ascii="Browallia New" w:cs="Browallia New" w:eastAsia="Browallia New" w:hAnsi="Browallia New"/>
          <w:rtl w:val="0"/>
        </w:rPr>
        <w:t xml:space="preserve">xis / </w:t>
      </w:r>
      <w:r w:rsidDel="00000000" w:rsidR="00000000" w:rsidRPr="00000000">
        <w:rPr>
          <w:rFonts w:ascii="Browallia New" w:cs="Browallia New" w:eastAsia="Browallia New" w:hAnsi="Browallia New"/>
          <w:b w:val="1"/>
          <w:rtl w:val="0"/>
        </w:rPr>
        <w:t xml:space="preserve">K</w:t>
      </w:r>
      <w:r w:rsidDel="00000000" w:rsidR="00000000" w:rsidRPr="00000000">
        <w:rPr>
          <w:rFonts w:ascii="Browallia New" w:cs="Browallia New" w:eastAsia="Browallia New" w:hAnsi="Browallia New"/>
          <w:rtl w:val="0"/>
        </w:rPr>
        <w:t xml:space="preserve">ey / </w:t>
      </w:r>
      <w:r w:rsidDel="00000000" w:rsidR="00000000" w:rsidRPr="00000000">
        <w:rPr>
          <w:rFonts w:ascii="Browallia New" w:cs="Browallia New" w:eastAsia="Browallia New" w:hAnsi="Browallia New"/>
          <w:b w:val="1"/>
          <w:rtl w:val="0"/>
        </w:rPr>
        <w:t xml:space="preserve">S</w:t>
      </w:r>
      <w:r w:rsidDel="00000000" w:rsidR="00000000" w:rsidRPr="00000000">
        <w:rPr>
          <w:rFonts w:ascii="Browallia New" w:cs="Browallia New" w:eastAsia="Browallia New" w:hAnsi="Browallia New"/>
          <w:rtl w:val="0"/>
        </w:rPr>
        <w:t xml:space="preserve">cale</w:t>
      </w:r>
    </w:p>
    <w:p w:rsidR="00000000" w:rsidDel="00000000" w:rsidP="00000000" w:rsidRDefault="00000000" w:rsidRPr="00000000" w14:paraId="000000E6">
      <w:pPr>
        <w:spacing w:after="240" w:before="240" w:line="276"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bl>
      <w:tblPr>
        <w:tblStyle w:val="Table4"/>
        <w:tblW w:w="85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5"/>
        <w:gridCol w:w="360"/>
        <w:gridCol w:w="360"/>
        <w:gridCol w:w="360"/>
        <w:gridCol w:w="360"/>
        <w:gridCol w:w="360"/>
        <w:gridCol w:w="345"/>
        <w:gridCol w:w="360"/>
        <w:gridCol w:w="360"/>
        <w:gridCol w:w="360"/>
        <w:gridCol w:w="360"/>
        <w:gridCol w:w="345"/>
        <w:gridCol w:w="360"/>
        <w:gridCol w:w="360"/>
        <w:gridCol w:w="360"/>
        <w:gridCol w:w="360"/>
        <w:gridCol w:w="345"/>
        <w:gridCol w:w="360"/>
        <w:gridCol w:w="360"/>
        <w:gridCol w:w="360"/>
        <w:gridCol w:w="360"/>
        <w:gridCol w:w="360"/>
        <w:gridCol w:w="345"/>
        <w:gridCol w:w="360"/>
        <w:tblGridChange w:id="0">
          <w:tblGrid>
            <w:gridCol w:w="345"/>
            <w:gridCol w:w="360"/>
            <w:gridCol w:w="360"/>
            <w:gridCol w:w="360"/>
            <w:gridCol w:w="360"/>
            <w:gridCol w:w="360"/>
            <w:gridCol w:w="345"/>
            <w:gridCol w:w="360"/>
            <w:gridCol w:w="360"/>
            <w:gridCol w:w="360"/>
            <w:gridCol w:w="360"/>
            <w:gridCol w:w="345"/>
            <w:gridCol w:w="360"/>
            <w:gridCol w:w="360"/>
            <w:gridCol w:w="360"/>
            <w:gridCol w:w="360"/>
            <w:gridCol w:w="345"/>
            <w:gridCol w:w="360"/>
            <w:gridCol w:w="360"/>
            <w:gridCol w:w="360"/>
            <w:gridCol w:w="360"/>
            <w:gridCol w:w="360"/>
            <w:gridCol w:w="345"/>
            <w:gridCol w:w="360"/>
          </w:tblGrid>
        </w:tblGridChange>
      </w:tblGrid>
      <w:tr>
        <w:trPr>
          <w:cantSplit w:val="0"/>
          <w:trHeight w:val="56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2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F">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0">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1">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2">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3">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4">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5">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6">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7">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8">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9">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A">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B">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C">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D">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4E">
            <w:pPr>
              <w:spacing w:after="240" w:before="240" w:line="276" w:lineRule="auto"/>
              <w:ind w:left="140" w:right="140" w:firstLine="0"/>
              <w:jc w:val="center"/>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 </w:t>
            </w:r>
          </w:p>
        </w:tc>
      </w:tr>
    </w:tbl>
    <w:p w:rsidR="00000000" w:rsidDel="00000000" w:rsidP="00000000" w:rsidRDefault="00000000" w:rsidRPr="00000000" w14:paraId="0000024F">
      <w:pPr>
        <w:spacing w:after="240" w:before="240" w:line="276" w:lineRule="auto"/>
        <w:rPr>
          <w:sz w:val="24"/>
          <w:szCs w:val="24"/>
        </w:rPr>
      </w:pPr>
      <w:r w:rsidDel="00000000" w:rsidR="00000000" w:rsidRPr="00000000">
        <w:rPr>
          <w:rFonts w:ascii="Playfair Display" w:cs="Playfair Display" w:eastAsia="Playfair Display" w:hAnsi="Playfair Display"/>
          <w:rtl w:val="0"/>
        </w:rPr>
        <w:t xml:space="preserve"> </w:t>
      </w:r>
      <w:r w:rsidDel="00000000" w:rsidR="00000000" w:rsidRPr="00000000">
        <w:rPr>
          <w:rtl w:val="0"/>
        </w:rPr>
      </w:r>
    </w:p>
    <w:sectPr>
      <w:headerReference r:id="rId8" w:type="default"/>
      <w:headerReference r:id="rId9" w:type="first"/>
      <w:footerReference r:id="rId10" w:type="first"/>
      <w:footerReference r:id="rId11" w:type="default"/>
      <w:pgSz w:h="15840" w:w="12240" w:orient="portrait"/>
      <w:pgMar w:bottom="1008" w:top="1008" w:left="1008" w:right="1008"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Browallia New"/>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fair Displ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ab/>
      <w:tab/>
      <w:t xml:space="preserve">©Mammoth Science </w:t>
      <w:tab/>
      <w:tab/>
      <w:tab/>
      <w:tab/>
      <w:tab/>
      <w:tab/>
      <w:tab/>
      <w:tab/>
      <w:tab/>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spacing w:before="0" w:line="240" w:lineRule="auto"/>
      <w:ind w:left="75" w:firstLine="0"/>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ab/>
      <w:tab/>
      <w:t xml:space="preserve">©Mammoth Science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2">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253">
    <w:pPr>
      <w:pStyle w:val="Subtitle"/>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i9npdp6lp7kp" w:id="8"/>
    <w:bookmarkEnd w:id="8"/>
    <w:r w:rsidDel="00000000" w:rsidR="00000000" w:rsidRPr="00000000">
      <w:rPr>
        <w:rtl w:val="0"/>
      </w:rPr>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pict>
        <v:rect style="width:0.0pt;height:1.5pt" o:hr="t" o:hrstd="t" o:hralign="center" fillcolor="#A0A0A0" stroked="f"/>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5162550</wp:posOffset>
          </wp:positionH>
          <wp:positionV relativeFrom="paragraph">
            <wp:posOffset>47626</wp:posOffset>
          </wp:positionV>
          <wp:extent cx="1028700" cy="1028700"/>
          <wp:effectExtent b="0" l="0" r="0" t="0"/>
          <wp:wrapNone/>
          <wp:docPr id="2" name="image2.png"/>
          <a:graphic>
            <a:graphicData uri="http://schemas.openxmlformats.org/drawingml/2006/picture">
              <pic:pic>
                <pic:nvPicPr>
                  <pic:cNvPr id="0" name="image2.png"/>
                  <pic:cNvPicPr preferRelativeResize="0"/>
                </pic:nvPicPr>
                <pic:blipFill>
                  <a:blip r:embed="rId1">
                    <a:alphaModFix amt="48000"/>
                  </a:blip>
                  <a:srcRect b="0" l="0" r="0" t="0"/>
                  <a:stretch>
                    <a:fillRect/>
                  </a:stretch>
                </pic:blipFill>
                <pic:spPr>
                  <a:xfrm>
                    <a:off x="0" y="0"/>
                    <a:ext cx="1028700" cy="10287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7315200</wp:posOffset>
          </wp:positionH>
          <wp:positionV relativeFrom="paragraph">
            <wp:posOffset>47626</wp:posOffset>
          </wp:positionV>
          <wp:extent cx="1023938" cy="1023938"/>
          <wp:effectExtent b="0" l="0" r="0" t="0"/>
          <wp:wrapNone/>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rFonts w:ascii="Arial" w:cs="Arial" w:eastAsia="Arial" w:hAnsi="Arial"/>
        <w:b w:val="1"/>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rFonts w:ascii="Arial" w:cs="Arial" w:eastAsia="Arial" w:hAnsi="Arial"/>
        <w:b w:val="1"/>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pPr>
    <w:rPr>
      <w:b w:val="1"/>
      <w:sz w:val="32"/>
      <w:szCs w:val="32"/>
    </w:rPr>
  </w:style>
  <w:style w:type="paragraph" w:styleId="Heading2">
    <w:name w:val="heading 2"/>
    <w:basedOn w:val="Normal"/>
    <w:next w:val="Normal"/>
    <w:pPr>
      <w:pageBreakBefore w:val="0"/>
    </w:pPr>
    <w:rPr>
      <w:b w:val="1"/>
      <w:sz w:val="26"/>
      <w:szCs w:val="26"/>
    </w:rPr>
  </w:style>
  <w:style w:type="paragraph" w:styleId="Heading3">
    <w:name w:val="heading 3"/>
    <w:basedOn w:val="Normal"/>
    <w:next w:val="Normal"/>
    <w:pPr>
      <w:pageBreakBefore w:val="0"/>
      <w:ind w:left="-15" w:firstLine="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mailto:matthewsimmons@hebisd.edu" TargetMode="Externa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PlayfairDisplay-regular.ttf"/><Relationship Id="rId6" Type="http://schemas.openxmlformats.org/officeDocument/2006/relationships/font" Target="fonts/PlayfairDisplay-bold.ttf"/><Relationship Id="rId7" Type="http://schemas.openxmlformats.org/officeDocument/2006/relationships/font" Target="fonts/PlayfairDisplay-italic.ttf"/><Relationship Id="rId8" Type="http://schemas.openxmlformats.org/officeDocument/2006/relationships/font" Target="fonts/PlayfairDisplay-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